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2558DF" w:rsidP="004A6D2F">
            <w:pPr>
              <w:rPr>
                <w:rStyle w:val="Firstpagetablebold"/>
              </w:rPr>
            </w:pPr>
            <w:r>
              <w:rPr>
                <w:rStyle w:val="Firstpagetablebold"/>
              </w:rPr>
              <w:t>To</w:t>
            </w:r>
            <w:r w:rsidR="005C35A5" w:rsidRPr="00975B07">
              <w:rPr>
                <w:rStyle w:val="Firstpagetablebold"/>
              </w:rPr>
              <w:t>:</w:t>
            </w:r>
          </w:p>
        </w:tc>
        <w:tc>
          <w:tcPr>
            <w:tcW w:w="6406" w:type="dxa"/>
            <w:shd w:val="clear" w:color="auto" w:fill="auto"/>
          </w:tcPr>
          <w:p w:rsidR="000A47AE" w:rsidRDefault="002558DF" w:rsidP="000A47AE">
            <w:pPr>
              <w:rPr>
                <w:rStyle w:val="Firstpagetablebold"/>
              </w:rPr>
            </w:pPr>
            <w:r>
              <w:rPr>
                <w:rStyle w:val="Firstpagetablebold"/>
              </w:rPr>
              <w:t xml:space="preserve">Cabinet </w:t>
            </w:r>
            <w:r w:rsidR="001A6EE3">
              <w:rPr>
                <w:rStyle w:val="Firstpagetablebold"/>
              </w:rPr>
              <w:t>1</w:t>
            </w:r>
            <w:r w:rsidR="006633F1">
              <w:rPr>
                <w:rStyle w:val="Firstpagetablebold"/>
              </w:rPr>
              <w:t>5</w:t>
            </w:r>
            <w:r w:rsidR="00177372">
              <w:rPr>
                <w:rStyle w:val="Firstpagetablebold"/>
              </w:rPr>
              <w:t xml:space="preserve"> </w:t>
            </w:r>
            <w:r w:rsidR="0035153F">
              <w:rPr>
                <w:rStyle w:val="Firstpagetablebold"/>
              </w:rPr>
              <w:t>Dec</w:t>
            </w:r>
            <w:r w:rsidR="00C1470A">
              <w:rPr>
                <w:rStyle w:val="Firstpagetablebold"/>
              </w:rPr>
              <w:t>ember</w:t>
            </w:r>
            <w:r w:rsidR="00534A13">
              <w:rPr>
                <w:rStyle w:val="Firstpagetablebold"/>
              </w:rPr>
              <w:t xml:space="preserve"> 202</w:t>
            </w:r>
            <w:r w:rsidR="006633F1">
              <w:rPr>
                <w:rStyle w:val="Firstpagetablebold"/>
              </w:rPr>
              <w:t>1</w:t>
            </w:r>
            <w:r w:rsidR="000A47AE">
              <w:rPr>
                <w:rStyle w:val="Firstpagetablebold"/>
              </w:rPr>
              <w:t xml:space="preserve">  </w:t>
            </w:r>
          </w:p>
          <w:p w:rsidR="00F445B1" w:rsidRPr="001356F1" w:rsidRDefault="002558DF" w:rsidP="000A47AE">
            <w:pPr>
              <w:rPr>
                <w:b/>
              </w:rPr>
            </w:pPr>
            <w:r>
              <w:rPr>
                <w:rStyle w:val="Firstpagetablebold"/>
              </w:rPr>
              <w:t xml:space="preserve">Council </w:t>
            </w:r>
            <w:r w:rsidR="006626A3">
              <w:rPr>
                <w:rStyle w:val="Firstpagetablebold"/>
              </w:rPr>
              <w:t>31 Jan</w:t>
            </w:r>
            <w:r w:rsidR="00C1470A">
              <w:rPr>
                <w:rStyle w:val="Firstpagetablebold"/>
              </w:rPr>
              <w:t>uary</w:t>
            </w:r>
            <w:r w:rsidR="006626A3">
              <w:rPr>
                <w:rStyle w:val="Firstpagetablebold"/>
              </w:rPr>
              <w:t xml:space="preserve">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35153F">
              <w:rPr>
                <w:rStyle w:val="Firstpagetablebold"/>
              </w:rPr>
              <w:t>2</w:t>
            </w:r>
            <w:r w:rsidR="00C00652">
              <w:rPr>
                <w:rStyle w:val="Firstpagetablebold"/>
              </w:rPr>
              <w:t xml:space="preserve"> 20</w:t>
            </w:r>
            <w:r w:rsidR="00632588">
              <w:rPr>
                <w:rStyle w:val="Firstpagetablebold"/>
              </w:rPr>
              <w:t>2</w:t>
            </w:r>
            <w:r w:rsidR="006633F1">
              <w:rPr>
                <w:rStyle w:val="Firstpagetablebold"/>
              </w:rPr>
              <w:t>1</w:t>
            </w:r>
            <w:r w:rsidR="00871859">
              <w:rPr>
                <w:rStyle w:val="Firstpagetablebold"/>
              </w:rPr>
              <w:t>/2</w:t>
            </w:r>
            <w:r w:rsidR="006633F1">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3"/>
        <w:gridCol w:w="1942"/>
        <w:gridCol w:w="5845"/>
      </w:tblGrid>
      <w:tr w:rsidR="00D5547E" w:rsidTr="00C1470A">
        <w:tc>
          <w:tcPr>
            <w:tcW w:w="9170"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1470A">
        <w:tc>
          <w:tcPr>
            <w:tcW w:w="3325"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845" w:type="dxa"/>
            <w:tcBorders>
              <w:top w:val="single" w:sz="8" w:space="0" w:color="000000"/>
              <w:left w:val="nil"/>
              <w:bottom w:val="nil"/>
              <w:right w:val="single" w:sz="8" w:space="0" w:color="000000"/>
            </w:tcBorders>
            <w:hideMark/>
          </w:tcPr>
          <w:p w:rsidR="00D5547E" w:rsidRPr="001356F1" w:rsidRDefault="00A91B9B" w:rsidP="006633F1">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 June 202</w:t>
            </w:r>
            <w:r w:rsidR="006633F1">
              <w:t>1</w:t>
            </w:r>
            <w:r w:rsidR="00964187">
              <w:t>.</w:t>
            </w:r>
          </w:p>
        </w:tc>
      </w:tr>
      <w:tr w:rsidR="00D5547E" w:rsidTr="00C1470A">
        <w:tc>
          <w:tcPr>
            <w:tcW w:w="3325"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845" w:type="dxa"/>
            <w:tcBorders>
              <w:top w:val="nil"/>
              <w:left w:val="nil"/>
              <w:bottom w:val="nil"/>
              <w:right w:val="single" w:sz="8" w:space="0" w:color="000000"/>
            </w:tcBorders>
            <w:hideMark/>
          </w:tcPr>
          <w:p w:rsidR="00D5547E" w:rsidRPr="001356F1" w:rsidRDefault="00177372" w:rsidP="005F7F7E">
            <w:r>
              <w:t>No</w:t>
            </w:r>
          </w:p>
        </w:tc>
      </w:tr>
      <w:tr w:rsidR="00D5547E" w:rsidTr="00C1470A">
        <w:tc>
          <w:tcPr>
            <w:tcW w:w="3325" w:type="dxa"/>
            <w:gridSpan w:val="2"/>
            <w:tcBorders>
              <w:top w:val="nil"/>
              <w:left w:val="single" w:sz="8" w:space="0" w:color="000000"/>
              <w:bottom w:val="nil"/>
              <w:right w:val="nil"/>
            </w:tcBorders>
            <w:hideMark/>
          </w:tcPr>
          <w:p w:rsidR="00D5547E" w:rsidRDefault="00C1470A">
            <w:pPr>
              <w:rPr>
                <w:rStyle w:val="Firstpagetablebold"/>
              </w:rPr>
            </w:pPr>
            <w:r>
              <w:rPr>
                <w:rStyle w:val="Firstpagetablebold"/>
              </w:rPr>
              <w:t>Cabinet</w:t>
            </w:r>
            <w:r w:rsidR="00D5547E">
              <w:rPr>
                <w:rStyle w:val="Firstpagetablebold"/>
              </w:rPr>
              <w:t xml:space="preserve"> Member:</w:t>
            </w:r>
          </w:p>
        </w:tc>
        <w:tc>
          <w:tcPr>
            <w:tcW w:w="584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r w:rsidR="00C1470A">
              <w:t>, Cabinet Member for Finance and Asset Management</w:t>
            </w:r>
          </w:p>
        </w:tc>
      </w:tr>
      <w:tr w:rsidR="0080749A" w:rsidTr="00C1470A">
        <w:tc>
          <w:tcPr>
            <w:tcW w:w="3325"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845" w:type="dxa"/>
            <w:tcBorders>
              <w:top w:val="nil"/>
              <w:left w:val="nil"/>
              <w:bottom w:val="nil"/>
              <w:right w:val="single" w:sz="8" w:space="0" w:color="000000"/>
            </w:tcBorders>
          </w:tcPr>
          <w:p w:rsidR="0080749A" w:rsidRPr="001356F1" w:rsidRDefault="00D91813" w:rsidP="005F7F7E">
            <w:r>
              <w:t>All</w:t>
            </w:r>
          </w:p>
        </w:tc>
      </w:tr>
      <w:tr w:rsidR="00D5547E" w:rsidTr="00C1470A">
        <w:tc>
          <w:tcPr>
            <w:tcW w:w="3325"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845" w:type="dxa"/>
            <w:tcBorders>
              <w:top w:val="nil"/>
              <w:left w:val="nil"/>
              <w:bottom w:val="nil"/>
              <w:right w:val="single" w:sz="8" w:space="0" w:color="000000"/>
            </w:tcBorders>
            <w:hideMark/>
          </w:tcPr>
          <w:p w:rsidR="00D5547E" w:rsidRPr="001356F1" w:rsidRDefault="00D91813" w:rsidP="005F7F7E">
            <w:r>
              <w:t>Council Strategy 2020-24</w:t>
            </w:r>
          </w:p>
        </w:tc>
      </w:tr>
      <w:tr w:rsidR="005F7F7E" w:rsidRPr="00975B07" w:rsidTr="00C1470A">
        <w:trPr>
          <w:trHeight w:val="413"/>
        </w:trPr>
        <w:tc>
          <w:tcPr>
            <w:tcW w:w="9170" w:type="dxa"/>
            <w:gridSpan w:val="3"/>
            <w:tcBorders>
              <w:bottom w:val="single" w:sz="8" w:space="0" w:color="000000"/>
            </w:tcBorders>
          </w:tcPr>
          <w:p w:rsidR="005F7F7E" w:rsidRPr="00975B07" w:rsidRDefault="00D91813" w:rsidP="00CF795B">
            <w:r>
              <w:rPr>
                <w:rStyle w:val="Firstpagetablebold"/>
              </w:rPr>
              <w:t>Recommendations</w:t>
            </w:r>
            <w:r w:rsidR="005F7F7E">
              <w:rPr>
                <w:rStyle w:val="Firstpagetablebold"/>
              </w:rPr>
              <w:t>:</w:t>
            </w:r>
            <w:r w:rsidR="007E64F0">
              <w:rPr>
                <w:rStyle w:val="Firstpagetablebold"/>
              </w:rPr>
              <w:t xml:space="preserve"> </w:t>
            </w:r>
            <w:r w:rsidRPr="00D91813">
              <w:rPr>
                <w:rStyle w:val="Firstpagetablebold"/>
                <w:b w:val="0"/>
              </w:rPr>
              <w:t xml:space="preserve">That </w:t>
            </w:r>
            <w:r w:rsidR="005F7F7E" w:rsidRPr="00D91813">
              <w:rPr>
                <w:rStyle w:val="Firstpagetablebold"/>
                <w:b w:val="0"/>
              </w:rPr>
              <w:t xml:space="preserve"> </w:t>
            </w:r>
            <w:r w:rsidR="00CF795B" w:rsidRPr="00D91813">
              <w:rPr>
                <w:rStyle w:val="Firstpagetablebold"/>
                <w:b w:val="0"/>
              </w:rPr>
              <w:t>Cabinet</w:t>
            </w:r>
            <w:r w:rsidR="00A85B0E" w:rsidRPr="00D91813">
              <w:rPr>
                <w:rStyle w:val="Firstpagetablebold"/>
                <w:b w:val="0"/>
              </w:rPr>
              <w:t xml:space="preserve"> resolves to</w:t>
            </w:r>
            <w:r w:rsidR="005F7F7E" w:rsidRPr="00D91813">
              <w:rPr>
                <w:rStyle w:val="Firstpagetablebold"/>
                <w:b w:val="0"/>
              </w:rPr>
              <w:t>:</w:t>
            </w:r>
          </w:p>
        </w:tc>
      </w:tr>
      <w:tr w:rsidR="0030208D" w:rsidRPr="00975B07" w:rsidTr="00C1470A">
        <w:trPr>
          <w:trHeight w:val="714"/>
        </w:trPr>
        <w:tc>
          <w:tcPr>
            <w:tcW w:w="1383" w:type="dxa"/>
            <w:tcBorders>
              <w:top w:val="single" w:sz="8" w:space="0" w:color="000000"/>
              <w:left w:val="single" w:sz="8" w:space="0" w:color="000000"/>
              <w:bottom w:val="nil"/>
              <w:right w:val="nil"/>
            </w:tcBorders>
          </w:tcPr>
          <w:p w:rsidR="00A85B0E" w:rsidRDefault="00C1470A" w:rsidP="00C1470A">
            <w:pPr>
              <w:spacing w:before="120" w:after="0"/>
            </w:pPr>
            <w:r>
              <w:t>1.</w:t>
            </w:r>
          </w:p>
          <w:p w:rsidR="00A12649" w:rsidRDefault="00A12649" w:rsidP="00CF795B">
            <w:pPr>
              <w:spacing w:before="120" w:after="0"/>
            </w:pPr>
          </w:p>
          <w:p w:rsidR="001A7F68" w:rsidRPr="00975B07" w:rsidRDefault="006626A3" w:rsidP="00C1470A">
            <w:pPr>
              <w:spacing w:before="120" w:after="0"/>
            </w:pPr>
            <w:r>
              <w:t>2.</w:t>
            </w:r>
          </w:p>
        </w:tc>
        <w:tc>
          <w:tcPr>
            <w:tcW w:w="7787" w:type="dxa"/>
            <w:gridSpan w:val="2"/>
            <w:tcBorders>
              <w:top w:val="single" w:sz="8" w:space="0" w:color="000000"/>
              <w:left w:val="nil"/>
              <w:bottom w:val="nil"/>
              <w:right w:val="single" w:sz="8" w:space="0" w:color="000000"/>
            </w:tcBorders>
            <w:shd w:val="clear" w:color="auto" w:fill="auto"/>
          </w:tcPr>
          <w:p w:rsidR="00D91813" w:rsidRDefault="00A85B0E" w:rsidP="0052595A">
            <w:pPr>
              <w:spacing w:after="0"/>
            </w:pPr>
            <w:r w:rsidRPr="00D91813">
              <w:rPr>
                <w:rStyle w:val="Firstpagetablebold"/>
              </w:rPr>
              <w:t xml:space="preserve">Note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35153F">
              <w:rPr>
                <w:rStyle w:val="Firstpagetablebold"/>
                <w:b w:val="0"/>
              </w:rPr>
              <w:t>Sept</w:t>
            </w:r>
            <w:r w:rsidR="00871859">
              <w:rPr>
                <w:rStyle w:val="Firstpagetablebold"/>
                <w:b w:val="0"/>
              </w:rPr>
              <w:t xml:space="preserve"> 202</w:t>
            </w:r>
            <w:r w:rsidR="006633F1">
              <w:rPr>
                <w:rStyle w:val="Firstpagetablebold"/>
                <w:b w:val="0"/>
              </w:rPr>
              <w:t>1</w:t>
            </w:r>
            <w:r w:rsidR="00D91813">
              <w:rPr>
                <w:rStyle w:val="Firstpagetablebold"/>
                <w:b w:val="0"/>
              </w:rPr>
              <w:t xml:space="preserve">; and </w:t>
            </w:r>
            <w:r w:rsidR="00D91813">
              <w:t xml:space="preserve"> </w:t>
            </w:r>
          </w:p>
          <w:p w:rsidR="006626A3" w:rsidRDefault="006626A3" w:rsidP="0052595A">
            <w:pPr>
              <w:spacing w:after="0"/>
            </w:pPr>
          </w:p>
          <w:p w:rsidR="006626A3" w:rsidRPr="001356F1" w:rsidRDefault="006626A3" w:rsidP="0052595A">
            <w:pPr>
              <w:spacing w:after="0"/>
            </w:pPr>
            <w:r w:rsidRPr="00D91813">
              <w:rPr>
                <w:b/>
              </w:rPr>
              <w:t>Recommend</w:t>
            </w:r>
            <w:r>
              <w:t xml:space="preserve"> to Council the addition of £2 million into the Homelessness budget, which will be fully funded by grant, as per paras 9 and 10. </w:t>
            </w:r>
          </w:p>
        </w:tc>
      </w:tr>
      <w:tr w:rsidR="00232F5B" w:rsidRPr="00975B07" w:rsidTr="00C1470A">
        <w:trPr>
          <w:trHeight w:val="80"/>
        </w:trPr>
        <w:tc>
          <w:tcPr>
            <w:tcW w:w="1383" w:type="dxa"/>
            <w:tcBorders>
              <w:top w:val="nil"/>
              <w:left w:val="single" w:sz="8" w:space="0" w:color="000000"/>
              <w:bottom w:val="single" w:sz="8" w:space="0" w:color="000000"/>
              <w:right w:val="nil"/>
            </w:tcBorders>
          </w:tcPr>
          <w:p w:rsidR="0030208D" w:rsidRPr="00975B07" w:rsidRDefault="0030208D" w:rsidP="00C1470A">
            <w:pPr>
              <w:spacing w:before="120"/>
            </w:pPr>
          </w:p>
        </w:tc>
        <w:tc>
          <w:tcPr>
            <w:tcW w:w="7787" w:type="dxa"/>
            <w:gridSpan w:val="2"/>
            <w:tcBorders>
              <w:top w:val="nil"/>
              <w:left w:val="nil"/>
              <w:bottom w:val="single" w:sz="8" w:space="0" w:color="000000"/>
              <w:right w:val="single" w:sz="8" w:space="0" w:color="000000"/>
            </w:tcBorders>
            <w:shd w:val="clear" w:color="auto" w:fill="auto"/>
          </w:tcPr>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rsidTr="00C1470A">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C1470A">
        <w:tc>
          <w:tcPr>
            <w:tcW w:w="2404"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D97EBB" w:rsidRPr="00975B07" w:rsidRDefault="00785148" w:rsidP="00FC4861">
            <w:r>
              <w:t xml:space="preserve">Appendix </w:t>
            </w:r>
            <w:r w:rsidR="001E12C0">
              <w:t>C</w:t>
            </w:r>
          </w:p>
        </w:tc>
        <w:tc>
          <w:tcPr>
            <w:tcW w:w="6766" w:type="dxa"/>
            <w:tcBorders>
              <w:top w:val="nil"/>
              <w:left w:val="nil"/>
              <w:bottom w:val="single" w:sz="8" w:space="0" w:color="000000"/>
              <w:right w:val="single" w:sz="8" w:space="0" w:color="000000"/>
            </w:tcBorders>
          </w:tcPr>
          <w:p w:rsidR="00A91B9B" w:rsidRDefault="00A91B9B" w:rsidP="00A91B9B">
            <w:r>
              <w:t xml:space="preserve">General Fund - </w:t>
            </w:r>
            <w:r w:rsidR="0035153F">
              <w:t>Sept</w:t>
            </w:r>
            <w:r w:rsidR="006633F1">
              <w:t xml:space="preserve"> 2021</w:t>
            </w:r>
            <w:r>
              <w:t xml:space="preserve"> Forecast Outturn</w:t>
            </w:r>
          </w:p>
          <w:p w:rsidR="00304AD6" w:rsidRDefault="00A91B9B" w:rsidP="001E12C0">
            <w:r>
              <w:t>H</w:t>
            </w:r>
            <w:r w:rsidR="00BB420C">
              <w:t xml:space="preserve">ousing </w:t>
            </w:r>
            <w:r>
              <w:t>R</w:t>
            </w:r>
            <w:r w:rsidR="00BB420C">
              <w:t xml:space="preserve">evenue </w:t>
            </w:r>
            <w:r>
              <w:t>A</w:t>
            </w:r>
            <w:r w:rsidR="00BB420C">
              <w:t>ccount</w:t>
            </w:r>
            <w:r>
              <w:t xml:space="preserve"> - </w:t>
            </w:r>
            <w:r w:rsidR="0035153F">
              <w:t>Sept</w:t>
            </w:r>
            <w:r w:rsidR="006633F1">
              <w:t xml:space="preserve"> 2021</w:t>
            </w:r>
            <w:r>
              <w:t xml:space="preserve"> Forecast Outturn</w:t>
            </w:r>
          </w:p>
          <w:p w:rsidR="00D97EBB" w:rsidRPr="00964187" w:rsidRDefault="00FC4861" w:rsidP="00871859">
            <w:r>
              <w:t xml:space="preserve">Capital Programme – </w:t>
            </w:r>
            <w:r w:rsidR="0035153F">
              <w:t>Sept</w:t>
            </w:r>
            <w:r>
              <w:t xml:space="preserve"> 20</w:t>
            </w:r>
            <w:r w:rsidR="006633F1">
              <w:t>21</w:t>
            </w:r>
          </w:p>
        </w:tc>
      </w:tr>
    </w:tbl>
    <w:p w:rsidR="00C1470A" w:rsidRDefault="00C1470A" w:rsidP="004A6D2F">
      <w:pPr>
        <w:pStyle w:val="Heading1"/>
        <w:rPr>
          <w:color w:val="auto"/>
        </w:rPr>
      </w:pPr>
    </w:p>
    <w:p w:rsidR="0040736F" w:rsidRPr="00BF3805" w:rsidRDefault="00121043" w:rsidP="004A6D2F">
      <w:pPr>
        <w:pStyle w:val="Heading1"/>
        <w:rPr>
          <w:color w:val="auto"/>
        </w:rPr>
      </w:pPr>
      <w:r w:rsidRPr="00BF3805">
        <w:rPr>
          <w:color w:val="auto"/>
        </w:rPr>
        <w:t>I</w:t>
      </w:r>
      <w:r w:rsidR="00F66DCA" w:rsidRPr="00BF3805">
        <w:rPr>
          <w:color w:val="auto"/>
        </w:rPr>
        <w:t>ntroduction and b</w:t>
      </w:r>
      <w:r w:rsidR="00151888" w:rsidRPr="00BF3805">
        <w:rPr>
          <w:color w:val="auto"/>
        </w:rPr>
        <w:t>ackground</w:t>
      </w:r>
      <w:r w:rsidR="00404032" w:rsidRPr="00BF3805">
        <w:rPr>
          <w:color w:val="auto"/>
        </w:rPr>
        <w:t xml:space="preserve"> </w:t>
      </w:r>
    </w:p>
    <w:p w:rsidR="00FB70AC" w:rsidRPr="0044106B" w:rsidRDefault="00FB70AC" w:rsidP="00FB70AC">
      <w:pPr>
        <w:pStyle w:val="ListParagraph"/>
        <w:rPr>
          <w:color w:val="000000" w:themeColor="text1"/>
        </w:rPr>
      </w:pPr>
      <w:r w:rsidRPr="00BF3805">
        <w:rPr>
          <w:color w:val="auto"/>
        </w:rPr>
        <w:t xml:space="preserve">This report </w:t>
      </w:r>
      <w:r w:rsidR="007333C3" w:rsidRPr="00BF3805">
        <w:rPr>
          <w:color w:val="auto"/>
        </w:rPr>
        <w:t xml:space="preserve">updates the </w:t>
      </w:r>
      <w:r w:rsidR="00406D7A" w:rsidRPr="00BF3805">
        <w:rPr>
          <w:color w:val="auto"/>
        </w:rPr>
        <w:t>Cabinet</w:t>
      </w:r>
      <w:r w:rsidR="007333C3" w:rsidRPr="00BF3805">
        <w:rPr>
          <w:color w:val="auto"/>
        </w:rPr>
        <w:t xml:space="preserve"> on the</w:t>
      </w:r>
      <w:r w:rsidR="003F50F9" w:rsidRPr="00BF3805">
        <w:rPr>
          <w:color w:val="auto"/>
        </w:rPr>
        <w:t xml:space="preserve"> financial</w:t>
      </w:r>
      <w:r w:rsidR="00A91B9B" w:rsidRPr="00BF3805">
        <w:rPr>
          <w:color w:val="auto"/>
        </w:rPr>
        <w:t>, corporate p</w:t>
      </w:r>
      <w:r w:rsidR="007333C3" w:rsidRPr="00BF3805">
        <w:rPr>
          <w:color w:val="auto"/>
        </w:rPr>
        <w:t xml:space="preserve">erformance </w:t>
      </w:r>
      <w:r w:rsidR="00A91B9B" w:rsidRPr="00BF3805">
        <w:rPr>
          <w:color w:val="auto"/>
        </w:rPr>
        <w:t xml:space="preserve">and corporate risk positions </w:t>
      </w:r>
      <w:r w:rsidR="007333C3" w:rsidRPr="00BF3805">
        <w:rPr>
          <w:color w:val="auto"/>
        </w:rPr>
        <w:t>of the Council as at 3</w:t>
      </w:r>
      <w:r w:rsidR="00871859" w:rsidRPr="00BF3805">
        <w:rPr>
          <w:color w:val="auto"/>
        </w:rPr>
        <w:t>0</w:t>
      </w:r>
      <w:r w:rsidR="00871859" w:rsidRPr="00BF3805">
        <w:rPr>
          <w:color w:val="auto"/>
          <w:vertAlign w:val="superscript"/>
        </w:rPr>
        <w:t>th</w:t>
      </w:r>
      <w:r w:rsidR="00871859" w:rsidRPr="00BF3805">
        <w:rPr>
          <w:color w:val="auto"/>
        </w:rPr>
        <w:t xml:space="preserve"> </w:t>
      </w:r>
      <w:r w:rsidR="00E90B4F" w:rsidRPr="00BF3805">
        <w:rPr>
          <w:color w:val="auto"/>
        </w:rPr>
        <w:t>Sept</w:t>
      </w:r>
      <w:r w:rsidR="00871859" w:rsidRPr="00BF3805">
        <w:rPr>
          <w:color w:val="auto"/>
        </w:rPr>
        <w:t xml:space="preserve"> 202</w:t>
      </w:r>
      <w:r w:rsidR="006633F1" w:rsidRPr="00BF3805">
        <w:rPr>
          <w:color w:val="auto"/>
        </w:rPr>
        <w:t>1</w:t>
      </w:r>
      <w:r w:rsidR="007333C3" w:rsidRPr="00BF3805">
        <w:rPr>
          <w:color w:val="auto"/>
        </w:rPr>
        <w:t xml:space="preserve">. </w:t>
      </w:r>
      <w:r w:rsidRPr="00BF3805">
        <w:rPr>
          <w:color w:val="auto"/>
        </w:rPr>
        <w:t xml:space="preserve"> A brief summary is as follows:</w:t>
      </w:r>
    </w:p>
    <w:p w:rsidR="00FB70AC" w:rsidRPr="0044106B" w:rsidRDefault="002A15EC" w:rsidP="003976F3">
      <w:pPr>
        <w:pStyle w:val="Heading1"/>
        <w:rPr>
          <w:color w:val="000000" w:themeColor="text1"/>
        </w:rPr>
      </w:pPr>
      <w:r w:rsidRPr="0044106B">
        <w:rPr>
          <w:color w:val="000000" w:themeColor="text1"/>
        </w:rPr>
        <w:lastRenderedPageBreak/>
        <w:t xml:space="preserve">Financial </w:t>
      </w:r>
      <w:r w:rsidR="006C483B" w:rsidRPr="0044106B">
        <w:rPr>
          <w:color w:val="000000" w:themeColor="text1"/>
        </w:rPr>
        <w:t>Position</w:t>
      </w:r>
    </w:p>
    <w:p w:rsidR="00136FB7" w:rsidRPr="0035153F" w:rsidRDefault="00C2674F" w:rsidP="00376EE5">
      <w:pPr>
        <w:pStyle w:val="ListParagraph"/>
        <w:numPr>
          <w:ilvl w:val="1"/>
          <w:numId w:val="39"/>
        </w:numPr>
        <w:rPr>
          <w:color w:val="FF0000"/>
        </w:rPr>
      </w:pPr>
      <w:r w:rsidRPr="0044106B">
        <w:rPr>
          <w:rFonts w:cs="Arial"/>
          <w:b/>
          <w:color w:val="000000" w:themeColor="text1"/>
        </w:rPr>
        <w:t>General Fund</w:t>
      </w:r>
      <w:r w:rsidRPr="0044106B">
        <w:rPr>
          <w:rFonts w:cs="Arial"/>
          <w:color w:val="000000" w:themeColor="text1"/>
        </w:rPr>
        <w:t xml:space="preserve"> – </w:t>
      </w:r>
      <w:r w:rsidR="00136EB8" w:rsidRPr="0044106B">
        <w:rPr>
          <w:rFonts w:cs="Arial"/>
          <w:color w:val="000000" w:themeColor="text1"/>
        </w:rPr>
        <w:t>t</w:t>
      </w:r>
      <w:r w:rsidR="00360AA3" w:rsidRPr="0044106B">
        <w:rPr>
          <w:rFonts w:cs="Arial"/>
          <w:color w:val="000000" w:themeColor="text1"/>
        </w:rPr>
        <w:t xml:space="preserve">he </w:t>
      </w:r>
      <w:r w:rsidRPr="0044106B">
        <w:rPr>
          <w:rFonts w:cs="Arial"/>
          <w:color w:val="000000" w:themeColor="text1"/>
        </w:rPr>
        <w:t>outturn po</w:t>
      </w:r>
      <w:r w:rsidR="00E001B2" w:rsidRPr="0044106B">
        <w:rPr>
          <w:rFonts w:cs="Arial"/>
          <w:color w:val="000000" w:themeColor="text1"/>
        </w:rPr>
        <w:t xml:space="preserve">sition </w:t>
      </w:r>
      <w:r w:rsidR="00360AA3" w:rsidRPr="0044106B">
        <w:rPr>
          <w:rFonts w:cs="Arial"/>
          <w:color w:val="000000" w:themeColor="text1"/>
        </w:rPr>
        <w:t xml:space="preserve">is </w:t>
      </w:r>
      <w:r w:rsidR="00E141C6" w:rsidRPr="0044106B">
        <w:rPr>
          <w:rFonts w:cs="Arial"/>
          <w:color w:val="000000" w:themeColor="text1"/>
        </w:rPr>
        <w:t>forecast</w:t>
      </w:r>
      <w:r w:rsidR="0044106B" w:rsidRPr="0044106B">
        <w:rPr>
          <w:rFonts w:cs="Arial"/>
          <w:color w:val="000000" w:themeColor="text1"/>
        </w:rPr>
        <w:t xml:space="preserve">ing a favourable variance of £0.573 million against </w:t>
      </w:r>
      <w:r w:rsidR="006633F1" w:rsidRPr="0044106B">
        <w:rPr>
          <w:rFonts w:cs="Arial"/>
          <w:color w:val="000000" w:themeColor="text1"/>
        </w:rPr>
        <w:t xml:space="preserve">the net budget agreed by Council </w:t>
      </w:r>
      <w:r w:rsidR="0044106B" w:rsidRPr="0044106B">
        <w:rPr>
          <w:rFonts w:cs="Arial"/>
          <w:color w:val="000000" w:themeColor="text1"/>
        </w:rPr>
        <w:t>in February 2021 of £23.647</w:t>
      </w:r>
      <w:r w:rsidR="006633F1" w:rsidRPr="0044106B">
        <w:rPr>
          <w:rFonts w:cs="Arial"/>
          <w:color w:val="000000" w:themeColor="text1"/>
        </w:rPr>
        <w:t xml:space="preserve"> million</w:t>
      </w:r>
      <w:r w:rsidR="00E141C6" w:rsidRPr="007043A5">
        <w:rPr>
          <w:rFonts w:cs="Arial"/>
          <w:color w:val="000000" w:themeColor="text1"/>
        </w:rPr>
        <w:t>;</w:t>
      </w:r>
      <w:r w:rsidR="00734425" w:rsidRPr="007043A5">
        <w:rPr>
          <w:rFonts w:cs="Arial"/>
          <w:color w:val="000000" w:themeColor="text1"/>
        </w:rPr>
        <w:t xml:space="preserve"> it should be noted this includes £</w:t>
      </w:r>
      <w:r w:rsidR="00DD4470" w:rsidRPr="007043A5">
        <w:rPr>
          <w:rFonts w:cs="Arial"/>
          <w:color w:val="000000" w:themeColor="text1"/>
        </w:rPr>
        <w:t>2.1million</w:t>
      </w:r>
      <w:r w:rsidR="00734425" w:rsidRPr="007043A5">
        <w:rPr>
          <w:rFonts w:cs="Arial"/>
          <w:color w:val="000000" w:themeColor="text1"/>
        </w:rPr>
        <w:t xml:space="preserve"> of </w:t>
      </w:r>
      <w:r w:rsidR="00DD4470" w:rsidRPr="007043A5">
        <w:rPr>
          <w:rFonts w:cs="Arial"/>
          <w:color w:val="000000" w:themeColor="text1"/>
        </w:rPr>
        <w:t xml:space="preserve">income </w:t>
      </w:r>
      <w:r w:rsidR="00734425" w:rsidRPr="007043A5">
        <w:rPr>
          <w:rFonts w:cs="Arial"/>
          <w:color w:val="000000" w:themeColor="text1"/>
        </w:rPr>
        <w:t xml:space="preserve">losses </w:t>
      </w:r>
      <w:r w:rsidR="00DD4470" w:rsidRPr="007043A5">
        <w:rPr>
          <w:rFonts w:cs="Arial"/>
          <w:color w:val="000000" w:themeColor="text1"/>
        </w:rPr>
        <w:t xml:space="preserve">already factored into the budget </w:t>
      </w:r>
      <w:r w:rsidR="00734425" w:rsidRPr="007043A5">
        <w:rPr>
          <w:rFonts w:cs="Arial"/>
          <w:color w:val="000000" w:themeColor="text1"/>
        </w:rPr>
        <w:t xml:space="preserve">due to </w:t>
      </w:r>
      <w:r w:rsidR="00DD4470" w:rsidRPr="007043A5">
        <w:rPr>
          <w:rFonts w:cs="Arial"/>
          <w:color w:val="000000" w:themeColor="text1"/>
        </w:rPr>
        <w:t xml:space="preserve">the continuing impacts from </w:t>
      </w:r>
      <w:proofErr w:type="spellStart"/>
      <w:r w:rsidR="00734425" w:rsidRPr="007043A5">
        <w:rPr>
          <w:rFonts w:cs="Arial"/>
          <w:color w:val="000000" w:themeColor="text1"/>
        </w:rPr>
        <w:t>Covid</w:t>
      </w:r>
      <w:proofErr w:type="spellEnd"/>
      <w:r w:rsidR="00734425" w:rsidRPr="007043A5">
        <w:rPr>
          <w:rFonts w:cs="Arial"/>
          <w:color w:val="000000" w:themeColor="text1"/>
        </w:rPr>
        <w:t>.</w:t>
      </w:r>
      <w:r w:rsidR="00B834BD" w:rsidRPr="007043A5">
        <w:rPr>
          <w:rFonts w:cs="Arial"/>
          <w:color w:val="000000" w:themeColor="text1"/>
        </w:rPr>
        <w:t xml:space="preserve"> In setting its Budget for 2021-22 and Medium Term Financial Plan at Council in February 2021 the Council was required to draw on £11.3 million of reserves to balance the budget over the medium term as well as reduce expenditure and seek further efficiencies and</w:t>
      </w:r>
      <w:r w:rsidR="007043A5" w:rsidRPr="007043A5">
        <w:rPr>
          <w:rFonts w:cs="Arial"/>
          <w:color w:val="000000" w:themeColor="text1"/>
        </w:rPr>
        <w:t xml:space="preserve"> increased revenue especially f</w:t>
      </w:r>
      <w:r w:rsidR="00B834BD" w:rsidRPr="007043A5">
        <w:rPr>
          <w:rFonts w:cs="Arial"/>
          <w:color w:val="000000" w:themeColor="text1"/>
        </w:rPr>
        <w:t>r</w:t>
      </w:r>
      <w:r w:rsidR="007043A5" w:rsidRPr="007043A5">
        <w:rPr>
          <w:rFonts w:cs="Arial"/>
          <w:color w:val="000000" w:themeColor="text1"/>
        </w:rPr>
        <w:t>o</w:t>
      </w:r>
      <w:r w:rsidR="00B834BD" w:rsidRPr="007043A5">
        <w:rPr>
          <w:rFonts w:cs="Arial"/>
          <w:color w:val="000000" w:themeColor="text1"/>
        </w:rPr>
        <w:t xml:space="preserve">m its wholly owned companies to cover reduced income and increased cost arising from the pandemic. </w:t>
      </w:r>
      <w:r w:rsidR="00EA2C63">
        <w:rPr>
          <w:rFonts w:cs="Arial"/>
          <w:color w:val="000000" w:themeColor="text1"/>
        </w:rPr>
        <w:t>The favourable variance being forecast will lead to less call on reserves in year.</w:t>
      </w:r>
    </w:p>
    <w:p w:rsidR="001121C1" w:rsidRPr="007043A5" w:rsidRDefault="00C2674F" w:rsidP="00376EE5">
      <w:pPr>
        <w:pStyle w:val="ListParagraph"/>
        <w:numPr>
          <w:ilvl w:val="1"/>
          <w:numId w:val="39"/>
        </w:numPr>
        <w:rPr>
          <w:color w:val="000000" w:themeColor="text1"/>
        </w:rPr>
      </w:pPr>
      <w:r w:rsidRPr="007043A5">
        <w:rPr>
          <w:rFonts w:cs="Arial"/>
          <w:b/>
          <w:color w:val="000000" w:themeColor="text1"/>
        </w:rPr>
        <w:t>Housing Revenue Account</w:t>
      </w:r>
      <w:r w:rsidRPr="007043A5">
        <w:rPr>
          <w:rFonts w:cs="Arial"/>
          <w:color w:val="000000" w:themeColor="text1"/>
        </w:rPr>
        <w:t xml:space="preserve"> – </w:t>
      </w:r>
      <w:r w:rsidR="00ED108A" w:rsidRPr="007043A5">
        <w:rPr>
          <w:rFonts w:cs="Arial"/>
          <w:color w:val="000000" w:themeColor="text1"/>
        </w:rPr>
        <w:t xml:space="preserve">The budgeted surplus agreed </w:t>
      </w:r>
      <w:r w:rsidR="00406D7A" w:rsidRPr="007043A5">
        <w:rPr>
          <w:rFonts w:cs="Arial"/>
          <w:color w:val="000000" w:themeColor="text1"/>
        </w:rPr>
        <w:t>by the</w:t>
      </w:r>
      <w:r w:rsidR="00ED108A" w:rsidRPr="007043A5">
        <w:rPr>
          <w:rFonts w:cs="Arial"/>
          <w:color w:val="000000" w:themeColor="text1"/>
        </w:rPr>
        <w:t xml:space="preserve"> Council in F</w:t>
      </w:r>
      <w:r w:rsidR="00AB6B54" w:rsidRPr="007043A5">
        <w:rPr>
          <w:rFonts w:cs="Arial"/>
          <w:color w:val="000000" w:themeColor="text1"/>
        </w:rPr>
        <w:t>ebruary 20</w:t>
      </w:r>
      <w:r w:rsidR="006633F1" w:rsidRPr="007043A5">
        <w:rPr>
          <w:rFonts w:cs="Arial"/>
          <w:color w:val="000000" w:themeColor="text1"/>
        </w:rPr>
        <w:t>21</w:t>
      </w:r>
      <w:r w:rsidR="00AB6B54" w:rsidRPr="007043A5">
        <w:rPr>
          <w:rFonts w:cs="Arial"/>
          <w:color w:val="000000" w:themeColor="text1"/>
        </w:rPr>
        <w:t xml:space="preserve"> was £0.</w:t>
      </w:r>
      <w:r w:rsidR="006633F1" w:rsidRPr="007043A5">
        <w:rPr>
          <w:rFonts w:cs="Arial"/>
          <w:color w:val="000000" w:themeColor="text1"/>
        </w:rPr>
        <w:t>388</w:t>
      </w:r>
      <w:r w:rsidR="00AB6B54" w:rsidRPr="007043A5">
        <w:rPr>
          <w:rFonts w:cs="Arial"/>
          <w:color w:val="000000" w:themeColor="text1"/>
        </w:rPr>
        <w:t xml:space="preserve"> million.</w:t>
      </w:r>
      <w:r w:rsidR="00251AD9" w:rsidRPr="007043A5">
        <w:rPr>
          <w:rFonts w:cs="Arial"/>
          <w:color w:val="000000" w:themeColor="text1"/>
        </w:rPr>
        <w:t xml:space="preserve">  </w:t>
      </w:r>
      <w:r w:rsidR="00ED108A" w:rsidRPr="007043A5">
        <w:rPr>
          <w:rFonts w:cs="Arial"/>
          <w:color w:val="000000" w:themeColor="text1"/>
        </w:rPr>
        <w:t xml:space="preserve">The </w:t>
      </w:r>
      <w:r w:rsidR="00B83F15" w:rsidRPr="007043A5">
        <w:rPr>
          <w:rFonts w:cs="Arial"/>
          <w:color w:val="000000" w:themeColor="text1"/>
        </w:rPr>
        <w:t xml:space="preserve">forecast </w:t>
      </w:r>
      <w:r w:rsidR="00136EB8" w:rsidRPr="007043A5">
        <w:rPr>
          <w:rFonts w:cs="Arial"/>
          <w:color w:val="000000" w:themeColor="text1"/>
        </w:rPr>
        <w:t xml:space="preserve">outturn position </w:t>
      </w:r>
      <w:r w:rsidR="00B83F15" w:rsidRPr="007043A5">
        <w:rPr>
          <w:rFonts w:cs="Arial"/>
          <w:color w:val="000000" w:themeColor="text1"/>
        </w:rPr>
        <w:t>indicates</w:t>
      </w:r>
      <w:r w:rsidR="00136EB8" w:rsidRPr="007043A5">
        <w:rPr>
          <w:rFonts w:cs="Arial"/>
          <w:color w:val="000000" w:themeColor="text1"/>
        </w:rPr>
        <w:t xml:space="preserve"> </w:t>
      </w:r>
      <w:r w:rsidR="00B83F15" w:rsidRPr="007043A5">
        <w:rPr>
          <w:rFonts w:cs="Arial"/>
          <w:color w:val="000000" w:themeColor="text1"/>
        </w:rPr>
        <w:t xml:space="preserve">a surplus of </w:t>
      </w:r>
      <w:r w:rsidR="006633F1" w:rsidRPr="007043A5">
        <w:rPr>
          <w:rFonts w:cs="Arial"/>
          <w:color w:val="000000" w:themeColor="text1"/>
        </w:rPr>
        <w:t>£0.359 million</w:t>
      </w:r>
      <w:r w:rsidR="00B83F15" w:rsidRPr="007043A5">
        <w:rPr>
          <w:rFonts w:cs="Arial"/>
          <w:color w:val="000000" w:themeColor="text1"/>
        </w:rPr>
        <w:t>,</w:t>
      </w:r>
      <w:r w:rsidR="006633F1" w:rsidRPr="007043A5">
        <w:rPr>
          <w:rFonts w:cs="Arial"/>
          <w:color w:val="000000" w:themeColor="text1"/>
        </w:rPr>
        <w:t xml:space="preserve"> which is a  small </w:t>
      </w:r>
      <w:r w:rsidR="00251AD9" w:rsidRPr="007043A5">
        <w:rPr>
          <w:rFonts w:cs="Arial"/>
          <w:color w:val="000000" w:themeColor="text1"/>
        </w:rPr>
        <w:t>adverse</w:t>
      </w:r>
      <w:r w:rsidR="00B80C36" w:rsidRPr="007043A5">
        <w:rPr>
          <w:rFonts w:cs="Arial"/>
          <w:color w:val="000000" w:themeColor="text1"/>
        </w:rPr>
        <w:t xml:space="preserve"> </w:t>
      </w:r>
      <w:r w:rsidR="00F1786A" w:rsidRPr="007043A5">
        <w:rPr>
          <w:rFonts w:cs="Arial"/>
          <w:color w:val="000000" w:themeColor="text1"/>
        </w:rPr>
        <w:t>variance</w:t>
      </w:r>
      <w:r w:rsidR="003B0A0D" w:rsidRPr="007043A5">
        <w:rPr>
          <w:rFonts w:cs="Arial"/>
          <w:color w:val="000000" w:themeColor="text1"/>
        </w:rPr>
        <w:t xml:space="preserve"> </w:t>
      </w:r>
      <w:r w:rsidR="00294DDB" w:rsidRPr="007043A5">
        <w:rPr>
          <w:rFonts w:cs="Arial"/>
          <w:color w:val="000000" w:themeColor="text1"/>
        </w:rPr>
        <w:t>of £</w:t>
      </w:r>
      <w:r w:rsidR="006633F1" w:rsidRPr="007043A5">
        <w:rPr>
          <w:rFonts w:cs="Arial"/>
          <w:color w:val="000000" w:themeColor="text1"/>
        </w:rPr>
        <w:t xml:space="preserve">0.029 </w:t>
      </w:r>
      <w:r w:rsidR="00251AD9" w:rsidRPr="007043A5">
        <w:rPr>
          <w:rFonts w:cs="Arial"/>
          <w:color w:val="000000" w:themeColor="text1"/>
        </w:rPr>
        <w:t>million</w:t>
      </w:r>
      <w:r w:rsidR="00AF7E6D" w:rsidRPr="007043A5">
        <w:rPr>
          <w:rFonts w:cs="Arial"/>
          <w:color w:val="000000" w:themeColor="text1"/>
        </w:rPr>
        <w:t>;</w:t>
      </w:r>
      <w:r w:rsidR="00136EB8" w:rsidRPr="007043A5">
        <w:rPr>
          <w:rFonts w:cs="Arial"/>
          <w:color w:val="000000" w:themeColor="text1"/>
        </w:rPr>
        <w:t xml:space="preserve"> </w:t>
      </w:r>
    </w:p>
    <w:p w:rsidR="00251AD9" w:rsidRPr="009B30CC" w:rsidRDefault="00EA78BE" w:rsidP="00376EE5">
      <w:pPr>
        <w:pStyle w:val="ListParagraph"/>
        <w:numPr>
          <w:ilvl w:val="1"/>
          <w:numId w:val="39"/>
        </w:numPr>
        <w:rPr>
          <w:color w:val="auto"/>
        </w:rPr>
      </w:pPr>
      <w:r w:rsidRPr="009B30CC">
        <w:rPr>
          <w:rFonts w:cs="Arial"/>
          <w:b/>
          <w:color w:val="auto"/>
        </w:rPr>
        <w:t>Capital Programme</w:t>
      </w:r>
      <w:r w:rsidRPr="009B30CC">
        <w:rPr>
          <w:rFonts w:cs="Arial"/>
          <w:color w:val="auto"/>
        </w:rPr>
        <w:t xml:space="preserve"> – </w:t>
      </w:r>
      <w:r w:rsidR="00CD211A" w:rsidRPr="009B30CC">
        <w:rPr>
          <w:color w:val="auto"/>
        </w:rPr>
        <w:t>The budget, as approved at Council in Feb</w:t>
      </w:r>
      <w:r w:rsidR="00406D7A" w:rsidRPr="009B30CC">
        <w:rPr>
          <w:color w:val="auto"/>
        </w:rPr>
        <w:t>ruary</w:t>
      </w:r>
      <w:r w:rsidR="00251AD9" w:rsidRPr="009B30CC">
        <w:rPr>
          <w:color w:val="auto"/>
        </w:rPr>
        <w:t xml:space="preserve"> 202</w:t>
      </w:r>
      <w:r w:rsidR="006633F1" w:rsidRPr="009B30CC">
        <w:rPr>
          <w:color w:val="auto"/>
        </w:rPr>
        <w:t>1</w:t>
      </w:r>
      <w:r w:rsidR="00251AD9" w:rsidRPr="009B30CC">
        <w:rPr>
          <w:color w:val="auto"/>
        </w:rPr>
        <w:t>, was set at £1</w:t>
      </w:r>
      <w:r w:rsidR="006633F1" w:rsidRPr="009B30CC">
        <w:rPr>
          <w:color w:val="auto"/>
        </w:rPr>
        <w:t>86</w:t>
      </w:r>
      <w:r w:rsidR="00CD211A" w:rsidRPr="009B30CC">
        <w:rPr>
          <w:color w:val="auto"/>
        </w:rPr>
        <w:t xml:space="preserve"> million</w:t>
      </w:r>
      <w:r w:rsidR="00476CDE" w:rsidRPr="009B30CC">
        <w:rPr>
          <w:color w:val="auto"/>
        </w:rPr>
        <w:t xml:space="preserve"> with </w:t>
      </w:r>
      <w:r w:rsidR="009477B5" w:rsidRPr="009B30CC">
        <w:rPr>
          <w:color w:val="auto"/>
        </w:rPr>
        <w:t>carry forward</w:t>
      </w:r>
      <w:r w:rsidR="00476CDE" w:rsidRPr="009B30CC">
        <w:rPr>
          <w:color w:val="auto"/>
        </w:rPr>
        <w:t xml:space="preserve"> of unspent balances in 20</w:t>
      </w:r>
      <w:r w:rsidR="006633F1" w:rsidRPr="009B30CC">
        <w:rPr>
          <w:color w:val="auto"/>
        </w:rPr>
        <w:t>20-21</w:t>
      </w:r>
      <w:r w:rsidR="009B30CC" w:rsidRPr="009B30CC">
        <w:rPr>
          <w:color w:val="auto"/>
        </w:rPr>
        <w:t xml:space="preserve"> and some additional slippage the </w:t>
      </w:r>
      <w:r w:rsidR="006633F1" w:rsidRPr="009B30CC">
        <w:rPr>
          <w:color w:val="auto"/>
        </w:rPr>
        <w:t>latest budget</w:t>
      </w:r>
      <w:r w:rsidR="009B30CC" w:rsidRPr="009B30CC">
        <w:rPr>
          <w:color w:val="auto"/>
        </w:rPr>
        <w:t xml:space="preserve"> is now</w:t>
      </w:r>
      <w:r w:rsidR="006633F1" w:rsidRPr="009B30CC">
        <w:rPr>
          <w:color w:val="auto"/>
        </w:rPr>
        <w:t xml:space="preserve"> </w:t>
      </w:r>
      <w:r w:rsidR="009477B5" w:rsidRPr="009B30CC">
        <w:rPr>
          <w:color w:val="auto"/>
        </w:rPr>
        <w:t>£</w:t>
      </w:r>
      <w:r w:rsidR="009B30CC" w:rsidRPr="009B30CC">
        <w:rPr>
          <w:color w:val="auto"/>
        </w:rPr>
        <w:t>174.337</w:t>
      </w:r>
      <w:r w:rsidR="009477B5" w:rsidRPr="009B30CC">
        <w:rPr>
          <w:color w:val="auto"/>
        </w:rPr>
        <w:t xml:space="preserve"> million</w:t>
      </w:r>
      <w:r w:rsidR="00376EE5" w:rsidRPr="009B30CC">
        <w:rPr>
          <w:color w:val="auto"/>
        </w:rPr>
        <w:t xml:space="preserve">.  </w:t>
      </w:r>
      <w:r w:rsidR="00251AD9" w:rsidRPr="009B30CC">
        <w:rPr>
          <w:color w:val="auto"/>
        </w:rPr>
        <w:t xml:space="preserve">  The outturn forecast position is </w:t>
      </w:r>
      <w:r w:rsidR="006633F1" w:rsidRPr="009B30CC">
        <w:rPr>
          <w:color w:val="auto"/>
        </w:rPr>
        <w:t>currently</w:t>
      </w:r>
      <w:r w:rsidR="00251AD9" w:rsidRPr="009B30CC">
        <w:rPr>
          <w:color w:val="auto"/>
        </w:rPr>
        <w:t xml:space="preserve"> £</w:t>
      </w:r>
      <w:r w:rsidR="0029661E">
        <w:rPr>
          <w:color w:val="auto"/>
        </w:rPr>
        <w:t>1</w:t>
      </w:r>
      <w:r w:rsidR="003629C0">
        <w:rPr>
          <w:color w:val="auto"/>
        </w:rPr>
        <w:t>4</w:t>
      </w:r>
      <w:r w:rsidR="00FE6CC5">
        <w:rPr>
          <w:color w:val="auto"/>
        </w:rPr>
        <w:t>6</w:t>
      </w:r>
      <w:r w:rsidR="0029661E">
        <w:rPr>
          <w:color w:val="auto"/>
        </w:rPr>
        <w:t>.</w:t>
      </w:r>
      <w:r w:rsidR="00FE6CC5">
        <w:rPr>
          <w:color w:val="auto"/>
        </w:rPr>
        <w:t>318</w:t>
      </w:r>
      <w:r w:rsidR="00251AD9" w:rsidRPr="009B30CC">
        <w:rPr>
          <w:color w:val="auto"/>
        </w:rPr>
        <w:t xml:space="preserve"> million</w:t>
      </w:r>
      <w:r w:rsidR="00175CC5" w:rsidRPr="009B30CC">
        <w:rPr>
          <w:color w:val="auto"/>
        </w:rPr>
        <w:t xml:space="preserve"> with </w:t>
      </w:r>
      <w:r w:rsidR="00FE6CC5">
        <w:rPr>
          <w:color w:val="auto"/>
        </w:rPr>
        <w:t>a total variance of £28.019</w:t>
      </w:r>
      <w:r w:rsidR="006633F1" w:rsidRPr="009B30CC">
        <w:rPr>
          <w:color w:val="auto"/>
        </w:rPr>
        <w:t xml:space="preserve"> million made up of </w:t>
      </w:r>
      <w:r w:rsidR="00251AD9" w:rsidRPr="009B30CC">
        <w:rPr>
          <w:color w:val="auto"/>
        </w:rPr>
        <w:t>slippage of £</w:t>
      </w:r>
      <w:r w:rsidR="00FE6CC5">
        <w:rPr>
          <w:color w:val="auto"/>
        </w:rPr>
        <w:t>28</w:t>
      </w:r>
      <w:r w:rsidR="003629C0">
        <w:rPr>
          <w:color w:val="auto"/>
        </w:rPr>
        <w:t>.</w:t>
      </w:r>
      <w:r w:rsidR="00FE6CC5">
        <w:rPr>
          <w:color w:val="auto"/>
        </w:rPr>
        <w:t>056</w:t>
      </w:r>
      <w:r w:rsidR="00251AD9" w:rsidRPr="009B30CC">
        <w:rPr>
          <w:color w:val="auto"/>
        </w:rPr>
        <w:t xml:space="preserve"> million</w:t>
      </w:r>
      <w:r w:rsidR="00175CC5" w:rsidRPr="009B30CC">
        <w:rPr>
          <w:color w:val="auto"/>
        </w:rPr>
        <w:t xml:space="preserve"> </w:t>
      </w:r>
      <w:r w:rsidR="006633F1" w:rsidRPr="009B30CC">
        <w:rPr>
          <w:color w:val="auto"/>
        </w:rPr>
        <w:t>and £</w:t>
      </w:r>
      <w:r w:rsidR="009B30CC" w:rsidRPr="009B30CC">
        <w:rPr>
          <w:color w:val="auto"/>
        </w:rPr>
        <w:t>0.037</w:t>
      </w:r>
      <w:r w:rsidR="003629C0">
        <w:rPr>
          <w:color w:val="auto"/>
        </w:rPr>
        <w:t xml:space="preserve"> million of over</w:t>
      </w:r>
      <w:r w:rsidR="006633F1" w:rsidRPr="009B30CC">
        <w:rPr>
          <w:color w:val="auto"/>
        </w:rPr>
        <w:t>spend.</w:t>
      </w:r>
    </w:p>
    <w:p w:rsidR="00C2674F" w:rsidRPr="00DF70FC" w:rsidRDefault="00C2674F" w:rsidP="00FB70AC">
      <w:pPr>
        <w:pStyle w:val="ListParagraph"/>
        <w:rPr>
          <w:color w:val="auto"/>
        </w:rPr>
      </w:pPr>
      <w:r w:rsidRPr="00A1046A">
        <w:rPr>
          <w:rStyle w:val="Heading1Char"/>
          <w:color w:val="000000" w:themeColor="text1"/>
        </w:rPr>
        <w:t xml:space="preserve">Performance </w:t>
      </w:r>
      <w:r w:rsidR="00D45E2B" w:rsidRPr="00A1046A">
        <w:rPr>
          <w:color w:val="000000" w:themeColor="text1"/>
        </w:rPr>
        <w:t>–</w:t>
      </w:r>
      <w:r w:rsidR="002E6433" w:rsidRPr="00A1046A">
        <w:rPr>
          <w:rFonts w:eastAsia="Calibri" w:cs="Arial"/>
          <w:color w:val="000000" w:themeColor="text1"/>
        </w:rPr>
        <w:t xml:space="preserve"> There are 2</w:t>
      </w:r>
      <w:r w:rsidR="00BE0E37">
        <w:rPr>
          <w:rFonts w:eastAsia="Calibri" w:cs="Arial"/>
          <w:color w:val="000000" w:themeColor="text1"/>
        </w:rPr>
        <w:t>3</w:t>
      </w:r>
      <w:r w:rsidR="002E6433" w:rsidRPr="00A1046A">
        <w:rPr>
          <w:rFonts w:eastAsia="Calibri" w:cs="Arial"/>
          <w:color w:val="000000" w:themeColor="text1"/>
        </w:rPr>
        <w:t xml:space="preserve"> Corporate Indicators fo</w:t>
      </w:r>
      <w:r w:rsidR="00FD3E69">
        <w:rPr>
          <w:rFonts w:eastAsia="Calibri" w:cs="Arial"/>
          <w:color w:val="000000" w:themeColor="text1"/>
        </w:rPr>
        <w:t>r the current financial year,  11</w:t>
      </w:r>
      <w:r w:rsidR="002E6433" w:rsidRPr="00A1046A">
        <w:rPr>
          <w:rFonts w:eastAsia="Calibri" w:cs="Arial"/>
          <w:color w:val="000000" w:themeColor="text1"/>
        </w:rPr>
        <w:t xml:space="preserve"> of whic</w:t>
      </w:r>
      <w:r w:rsidR="00A1046A" w:rsidRPr="00A1046A">
        <w:rPr>
          <w:rFonts w:eastAsia="Calibri" w:cs="Arial"/>
          <w:color w:val="000000" w:themeColor="text1"/>
        </w:rPr>
        <w:t>h are rated Green (on target); 0</w:t>
      </w:r>
      <w:r w:rsidR="002E6433" w:rsidRPr="00A1046A">
        <w:rPr>
          <w:rFonts w:eastAsia="Calibri" w:cs="Arial"/>
          <w:color w:val="000000" w:themeColor="text1"/>
        </w:rPr>
        <w:t xml:space="preserve"> are rated Amber (within a t</w:t>
      </w:r>
      <w:r w:rsidR="00A1046A" w:rsidRPr="00A1046A">
        <w:rPr>
          <w:rFonts w:eastAsia="Calibri" w:cs="Arial"/>
          <w:color w:val="000000" w:themeColor="text1"/>
        </w:rPr>
        <w:t xml:space="preserve">olerance of target) and </w:t>
      </w:r>
      <w:r w:rsidR="00BE0E37">
        <w:rPr>
          <w:rFonts w:eastAsia="Calibri" w:cs="Arial"/>
          <w:color w:val="000000" w:themeColor="text1"/>
        </w:rPr>
        <w:t>3</w:t>
      </w:r>
      <w:r w:rsidR="00A1046A" w:rsidRPr="00A1046A">
        <w:rPr>
          <w:rFonts w:eastAsia="Calibri" w:cs="Arial"/>
          <w:color w:val="000000" w:themeColor="text1"/>
        </w:rPr>
        <w:t xml:space="preserve"> are</w:t>
      </w:r>
      <w:r w:rsidR="002E6433" w:rsidRPr="00A1046A">
        <w:rPr>
          <w:rFonts w:eastAsia="Calibri" w:cs="Arial"/>
          <w:color w:val="000000" w:themeColor="text1"/>
        </w:rPr>
        <w:t xml:space="preserve"> rated Red (outs</w:t>
      </w:r>
      <w:r w:rsidR="00A1046A" w:rsidRPr="00A1046A">
        <w:rPr>
          <w:rFonts w:eastAsia="Calibri" w:cs="Arial"/>
          <w:color w:val="000000" w:themeColor="text1"/>
        </w:rPr>
        <w:t>ide of target), there are also 9</w:t>
      </w:r>
      <w:r w:rsidR="002E6433" w:rsidRPr="00A1046A">
        <w:rPr>
          <w:rFonts w:eastAsia="Calibri" w:cs="Arial"/>
          <w:color w:val="000000" w:themeColor="text1"/>
        </w:rPr>
        <w:t xml:space="preserve"> indicators that </w:t>
      </w:r>
      <w:r w:rsidR="00A1046A" w:rsidRPr="00A1046A">
        <w:rPr>
          <w:rFonts w:eastAsia="Calibri" w:cs="Arial"/>
          <w:color w:val="000000" w:themeColor="text1"/>
        </w:rPr>
        <w:t xml:space="preserve">do not have performance data </w:t>
      </w:r>
      <w:r w:rsidR="00A1046A" w:rsidRPr="00DF70FC">
        <w:rPr>
          <w:rFonts w:eastAsia="Calibri" w:cs="Arial"/>
          <w:color w:val="auto"/>
        </w:rPr>
        <w:t>until the end of the year therefore are not RAG rated</w:t>
      </w:r>
      <w:r w:rsidR="003763B6" w:rsidRPr="00DF70FC">
        <w:rPr>
          <w:rFonts w:eastAsia="Calibri" w:cs="Arial"/>
          <w:color w:val="auto"/>
        </w:rPr>
        <w:t>.  More de</w:t>
      </w:r>
      <w:r w:rsidR="00686C24" w:rsidRPr="00DF70FC">
        <w:rPr>
          <w:rFonts w:eastAsia="Calibri" w:cs="Arial"/>
          <w:color w:val="auto"/>
        </w:rPr>
        <w:t xml:space="preserve">tails can be found in </w:t>
      </w:r>
      <w:r w:rsidR="00C13955">
        <w:rPr>
          <w:rFonts w:eastAsia="Calibri" w:cs="Arial"/>
          <w:color w:val="auto"/>
        </w:rPr>
        <w:t>paragraph 19</w:t>
      </w:r>
      <w:r w:rsidR="00686C24" w:rsidRPr="00DF70FC">
        <w:rPr>
          <w:rFonts w:eastAsia="Calibri" w:cs="Arial"/>
          <w:color w:val="auto"/>
        </w:rPr>
        <w:t>.</w:t>
      </w:r>
      <w:r w:rsidR="003763B6" w:rsidRPr="00DF70FC">
        <w:rPr>
          <w:rFonts w:eastAsia="Calibri" w:cs="Arial"/>
          <w:color w:val="auto"/>
        </w:rPr>
        <w:t xml:space="preserve"> </w:t>
      </w:r>
    </w:p>
    <w:p w:rsidR="00C2674F" w:rsidRPr="00DF70FC" w:rsidRDefault="006C483B" w:rsidP="00FB70AC">
      <w:pPr>
        <w:pStyle w:val="ListParagraph"/>
        <w:rPr>
          <w:color w:val="auto"/>
        </w:rPr>
      </w:pPr>
      <w:r w:rsidRPr="00DF70FC">
        <w:rPr>
          <w:rFonts w:cs="Arial"/>
          <w:b/>
          <w:color w:val="auto"/>
        </w:rPr>
        <w:t xml:space="preserve">Corporate </w:t>
      </w:r>
      <w:r w:rsidR="00C2674F" w:rsidRPr="00DF70FC">
        <w:rPr>
          <w:rFonts w:cs="Arial"/>
          <w:b/>
          <w:color w:val="auto"/>
        </w:rPr>
        <w:t>Risk Management</w:t>
      </w:r>
      <w:r w:rsidR="00650642" w:rsidRPr="00DF70FC">
        <w:rPr>
          <w:rFonts w:cs="Arial"/>
          <w:color w:val="auto"/>
        </w:rPr>
        <w:t xml:space="preserve"> – There </w:t>
      </w:r>
      <w:r w:rsidR="00251AD9" w:rsidRPr="00DF70FC">
        <w:rPr>
          <w:rFonts w:cs="Arial"/>
          <w:color w:val="auto"/>
        </w:rPr>
        <w:t xml:space="preserve">are </w:t>
      </w:r>
      <w:r w:rsidR="0009596F" w:rsidRPr="00DF70FC">
        <w:rPr>
          <w:rFonts w:cs="Arial"/>
          <w:color w:val="auto"/>
        </w:rPr>
        <w:t>three</w:t>
      </w:r>
      <w:r w:rsidR="00E72133" w:rsidRPr="00DF70FC">
        <w:rPr>
          <w:rFonts w:cs="Arial"/>
          <w:color w:val="auto"/>
        </w:rPr>
        <w:t xml:space="preserve"> </w:t>
      </w:r>
      <w:r w:rsidR="000119EC" w:rsidRPr="00DF70FC">
        <w:rPr>
          <w:rFonts w:cs="Arial"/>
          <w:color w:val="auto"/>
        </w:rPr>
        <w:t xml:space="preserve">red </w:t>
      </w:r>
      <w:r w:rsidR="00C2674F" w:rsidRPr="00DF70FC">
        <w:rPr>
          <w:rFonts w:cs="Arial"/>
          <w:color w:val="auto"/>
        </w:rPr>
        <w:t>corporate risk</w:t>
      </w:r>
      <w:r w:rsidR="00BB420C" w:rsidRPr="00DF70FC">
        <w:rPr>
          <w:rFonts w:cs="Arial"/>
          <w:color w:val="auto"/>
        </w:rPr>
        <w:t>s</w:t>
      </w:r>
      <w:r w:rsidR="00C2674F" w:rsidRPr="00DF70FC">
        <w:rPr>
          <w:rFonts w:cs="Arial"/>
          <w:color w:val="auto"/>
        </w:rPr>
        <w:t xml:space="preserve"> at </w:t>
      </w:r>
      <w:r w:rsidR="007C282E" w:rsidRPr="00DF70FC">
        <w:rPr>
          <w:rFonts w:cs="Arial"/>
          <w:color w:val="auto"/>
        </w:rPr>
        <w:t xml:space="preserve">the end of </w:t>
      </w:r>
      <w:r w:rsidR="001B0AD1" w:rsidRPr="00DF70FC">
        <w:rPr>
          <w:rFonts w:cs="Arial"/>
          <w:color w:val="auto"/>
        </w:rPr>
        <w:t>q</w:t>
      </w:r>
      <w:r w:rsidR="007C282E" w:rsidRPr="00DF70FC">
        <w:rPr>
          <w:rFonts w:cs="Arial"/>
          <w:color w:val="auto"/>
        </w:rPr>
        <w:t xml:space="preserve">uarter </w:t>
      </w:r>
      <w:r w:rsidR="0009596F" w:rsidRPr="00DF70FC">
        <w:rPr>
          <w:rFonts w:cs="Arial"/>
          <w:color w:val="auto"/>
        </w:rPr>
        <w:t>two</w:t>
      </w:r>
      <w:r w:rsidR="00BB420C" w:rsidRPr="00DF70FC">
        <w:rPr>
          <w:rFonts w:cs="Arial"/>
          <w:color w:val="auto"/>
        </w:rPr>
        <w:t>.  T</w:t>
      </w:r>
      <w:r w:rsidR="00251AD9" w:rsidRPr="00DF70FC">
        <w:rPr>
          <w:rFonts w:cs="Arial"/>
          <w:color w:val="auto"/>
        </w:rPr>
        <w:t>hese relate to</w:t>
      </w:r>
      <w:r w:rsidR="00406D7A" w:rsidRPr="00DF70FC">
        <w:rPr>
          <w:rFonts w:cs="Arial"/>
          <w:color w:val="auto"/>
        </w:rPr>
        <w:t xml:space="preserve"> </w:t>
      </w:r>
      <w:r w:rsidR="00AB24EA" w:rsidRPr="00DF70FC">
        <w:rPr>
          <w:rFonts w:cs="Arial"/>
          <w:color w:val="auto"/>
        </w:rPr>
        <w:t xml:space="preserve">actions taken to </w:t>
      </w:r>
      <w:r w:rsidR="005E64CB" w:rsidRPr="00DF70FC">
        <w:rPr>
          <w:rFonts w:cs="Arial"/>
          <w:color w:val="auto"/>
        </w:rPr>
        <w:t>ensur</w:t>
      </w:r>
      <w:r w:rsidR="00BB420C" w:rsidRPr="00DF70FC">
        <w:rPr>
          <w:rFonts w:cs="Arial"/>
          <w:color w:val="auto"/>
        </w:rPr>
        <w:t>e</w:t>
      </w:r>
      <w:r w:rsidR="005E64CB" w:rsidRPr="00DF70FC">
        <w:rPr>
          <w:rFonts w:cs="Arial"/>
          <w:color w:val="auto"/>
        </w:rPr>
        <w:t xml:space="preserve"> housi</w:t>
      </w:r>
      <w:r w:rsidR="00406D7A" w:rsidRPr="00DF70FC">
        <w:rPr>
          <w:rFonts w:cs="Arial"/>
          <w:color w:val="auto"/>
        </w:rPr>
        <w:t>ng delivery and supply for the c</w:t>
      </w:r>
      <w:r w:rsidR="005E64CB" w:rsidRPr="00DF70FC">
        <w:rPr>
          <w:rFonts w:cs="Arial"/>
          <w:color w:val="auto"/>
        </w:rPr>
        <w:t>ity</w:t>
      </w:r>
      <w:r w:rsidR="00BB420C" w:rsidRPr="00DF70FC">
        <w:rPr>
          <w:rFonts w:cs="Arial"/>
          <w:color w:val="auto"/>
        </w:rPr>
        <w:t xml:space="preserve"> of Oxford</w:t>
      </w:r>
      <w:r w:rsidR="005E64CB" w:rsidRPr="00DF70FC">
        <w:rPr>
          <w:rFonts w:cs="Arial"/>
          <w:color w:val="auto"/>
        </w:rPr>
        <w:t xml:space="preserve"> and </w:t>
      </w:r>
      <w:r w:rsidR="00BB420C" w:rsidRPr="00DF70FC">
        <w:rPr>
          <w:rFonts w:cs="Arial"/>
          <w:color w:val="auto"/>
        </w:rPr>
        <w:t xml:space="preserve">to </w:t>
      </w:r>
      <w:r w:rsidR="005E64CB" w:rsidRPr="00DF70FC">
        <w:rPr>
          <w:rFonts w:cs="Arial"/>
          <w:color w:val="auto"/>
        </w:rPr>
        <w:t>enabl</w:t>
      </w:r>
      <w:r w:rsidR="00BB420C" w:rsidRPr="00DF70FC">
        <w:rPr>
          <w:rFonts w:cs="Arial"/>
          <w:color w:val="auto"/>
        </w:rPr>
        <w:t>e</w:t>
      </w:r>
      <w:r w:rsidR="005E64CB" w:rsidRPr="00DF70FC">
        <w:rPr>
          <w:rFonts w:cs="Arial"/>
          <w:color w:val="auto"/>
        </w:rPr>
        <w:t xml:space="preserve"> sufficient house building and investment</w:t>
      </w:r>
      <w:r w:rsidR="002668C9" w:rsidRPr="00DF70FC">
        <w:rPr>
          <w:rFonts w:cs="Arial"/>
          <w:color w:val="auto"/>
        </w:rPr>
        <w:t>; local, national or international factors adversely affect</w:t>
      </w:r>
      <w:r w:rsidR="00BB420C" w:rsidRPr="00DF70FC">
        <w:rPr>
          <w:rFonts w:cs="Arial"/>
          <w:color w:val="auto"/>
        </w:rPr>
        <w:t>ing the economic growth of the c</w:t>
      </w:r>
      <w:r w:rsidR="002668C9" w:rsidRPr="00DF70FC">
        <w:rPr>
          <w:rFonts w:cs="Arial"/>
          <w:color w:val="auto"/>
        </w:rPr>
        <w:t>ity</w:t>
      </w:r>
      <w:r w:rsidR="00D354EF" w:rsidRPr="00DF70FC">
        <w:rPr>
          <w:rFonts w:cs="Arial"/>
          <w:color w:val="auto"/>
        </w:rPr>
        <w:t xml:space="preserve"> and </w:t>
      </w:r>
      <w:r w:rsidR="00630C9F" w:rsidRPr="00DF70FC">
        <w:rPr>
          <w:rFonts w:cs="Arial"/>
          <w:color w:val="auto"/>
        </w:rPr>
        <w:t>negative impacts of Climate Change.</w:t>
      </w:r>
      <w:r w:rsidR="00BB420C" w:rsidRPr="00DF70FC">
        <w:rPr>
          <w:rFonts w:cs="Arial"/>
          <w:color w:val="auto"/>
        </w:rPr>
        <w:t xml:space="preserve">  M</w:t>
      </w:r>
      <w:r w:rsidR="0013140F" w:rsidRPr="00DF70FC">
        <w:rPr>
          <w:rFonts w:cs="Arial"/>
          <w:color w:val="auto"/>
        </w:rPr>
        <w:t xml:space="preserve">ore details of </w:t>
      </w:r>
      <w:r w:rsidR="00BB420C" w:rsidRPr="00DF70FC">
        <w:rPr>
          <w:rFonts w:cs="Arial"/>
          <w:color w:val="auto"/>
        </w:rPr>
        <w:t xml:space="preserve">the </w:t>
      </w:r>
      <w:r w:rsidR="00E72133" w:rsidRPr="00DF70FC">
        <w:rPr>
          <w:rFonts w:cs="Arial"/>
          <w:color w:val="auto"/>
        </w:rPr>
        <w:t>risks</w:t>
      </w:r>
      <w:r w:rsidR="0013140F" w:rsidRPr="00DF70FC">
        <w:rPr>
          <w:rFonts w:cs="Arial"/>
          <w:color w:val="auto"/>
        </w:rPr>
        <w:t xml:space="preserve"> can be found </w:t>
      </w:r>
      <w:r w:rsidR="008530EB" w:rsidRPr="00DF70FC">
        <w:rPr>
          <w:rFonts w:cs="Arial"/>
          <w:color w:val="auto"/>
        </w:rPr>
        <w:t>in paragraph</w:t>
      </w:r>
      <w:r w:rsidR="00132A6F" w:rsidRPr="00DF70FC">
        <w:rPr>
          <w:rFonts w:cs="Arial"/>
          <w:color w:val="auto"/>
        </w:rPr>
        <w:t>s</w:t>
      </w:r>
      <w:r w:rsidR="008530EB" w:rsidRPr="00DF70FC">
        <w:rPr>
          <w:rFonts w:cs="Arial"/>
          <w:color w:val="auto"/>
        </w:rPr>
        <w:t xml:space="preserve"> </w:t>
      </w:r>
      <w:r w:rsidR="00A4165B" w:rsidRPr="00DF70FC">
        <w:rPr>
          <w:rFonts w:cs="Arial"/>
          <w:color w:val="auto"/>
        </w:rPr>
        <w:t>1</w:t>
      </w:r>
      <w:r w:rsidR="00C13955">
        <w:rPr>
          <w:rFonts w:cs="Arial"/>
          <w:color w:val="auto"/>
        </w:rPr>
        <w:t>7</w:t>
      </w:r>
      <w:r w:rsidR="00132A6F" w:rsidRPr="00DF70FC">
        <w:rPr>
          <w:rFonts w:cs="Arial"/>
          <w:color w:val="auto"/>
        </w:rPr>
        <w:t xml:space="preserve"> to </w:t>
      </w:r>
      <w:r w:rsidR="00A4165B" w:rsidRPr="00DF70FC">
        <w:rPr>
          <w:rFonts w:cs="Arial"/>
          <w:color w:val="auto"/>
        </w:rPr>
        <w:t>1</w:t>
      </w:r>
      <w:r w:rsidR="00C13955">
        <w:rPr>
          <w:rFonts w:cs="Arial"/>
          <w:color w:val="auto"/>
        </w:rPr>
        <w:t>8</w:t>
      </w:r>
      <w:r w:rsidR="00132A6F" w:rsidRPr="00DF70FC">
        <w:rPr>
          <w:rFonts w:cs="Arial"/>
          <w:color w:val="auto"/>
        </w:rPr>
        <w:t>;</w:t>
      </w:r>
    </w:p>
    <w:p w:rsidR="006C483B" w:rsidRPr="007043A5" w:rsidRDefault="006C483B" w:rsidP="003976F3">
      <w:pPr>
        <w:pStyle w:val="Heading1"/>
        <w:rPr>
          <w:color w:val="000000" w:themeColor="text1"/>
        </w:rPr>
      </w:pPr>
      <w:r w:rsidRPr="007043A5">
        <w:rPr>
          <w:color w:val="000000" w:themeColor="text1"/>
        </w:rPr>
        <w:t>Financial Position</w:t>
      </w:r>
    </w:p>
    <w:p w:rsidR="00536A53" w:rsidRPr="001D7A0E" w:rsidRDefault="00536A53" w:rsidP="003976F3">
      <w:pPr>
        <w:pStyle w:val="Heading1"/>
        <w:rPr>
          <w:color w:val="000000" w:themeColor="text1"/>
        </w:rPr>
      </w:pPr>
      <w:r w:rsidRPr="001D7A0E">
        <w:rPr>
          <w:color w:val="000000" w:themeColor="text1"/>
        </w:rPr>
        <w:t>General Fund Revenue</w:t>
      </w:r>
    </w:p>
    <w:p w:rsidR="00E141C6" w:rsidRPr="001D7A0E" w:rsidRDefault="00E141C6" w:rsidP="007E75B1">
      <w:pPr>
        <w:pStyle w:val="ListParagraph"/>
        <w:rPr>
          <w:color w:val="000000" w:themeColor="text1"/>
        </w:rPr>
      </w:pPr>
      <w:r w:rsidRPr="001D7A0E">
        <w:rPr>
          <w:color w:val="000000" w:themeColor="text1"/>
        </w:rPr>
        <w:t xml:space="preserve">The </w:t>
      </w:r>
      <w:r w:rsidR="00F52E15" w:rsidRPr="001D7A0E">
        <w:rPr>
          <w:color w:val="000000" w:themeColor="text1"/>
        </w:rPr>
        <w:t xml:space="preserve">overall </w:t>
      </w:r>
      <w:r w:rsidR="001A4B55" w:rsidRPr="001D7A0E">
        <w:rPr>
          <w:color w:val="000000" w:themeColor="text1"/>
        </w:rPr>
        <w:t>N</w:t>
      </w:r>
      <w:r w:rsidR="00BC54ED" w:rsidRPr="001D7A0E">
        <w:rPr>
          <w:color w:val="000000" w:themeColor="text1"/>
        </w:rPr>
        <w:t>et</w:t>
      </w:r>
      <w:r w:rsidR="002C45FC" w:rsidRPr="001D7A0E">
        <w:rPr>
          <w:color w:val="000000" w:themeColor="text1"/>
        </w:rPr>
        <w:t xml:space="preserve"> </w:t>
      </w:r>
      <w:r w:rsidR="00DB40A3" w:rsidRPr="001D7A0E">
        <w:rPr>
          <w:color w:val="000000" w:themeColor="text1"/>
        </w:rPr>
        <w:t>B</w:t>
      </w:r>
      <w:r w:rsidR="00F52E15" w:rsidRPr="001D7A0E">
        <w:rPr>
          <w:color w:val="000000" w:themeColor="text1"/>
        </w:rPr>
        <w:t xml:space="preserve">udget </w:t>
      </w:r>
      <w:r w:rsidR="001A4B55" w:rsidRPr="001D7A0E">
        <w:rPr>
          <w:color w:val="000000" w:themeColor="text1"/>
        </w:rPr>
        <w:t xml:space="preserve">Requirement </w:t>
      </w:r>
      <w:r w:rsidR="00CC2459" w:rsidRPr="001D7A0E">
        <w:rPr>
          <w:color w:val="000000" w:themeColor="text1"/>
        </w:rPr>
        <w:t>a</w:t>
      </w:r>
      <w:r w:rsidR="00406D7A" w:rsidRPr="001D7A0E">
        <w:rPr>
          <w:color w:val="000000" w:themeColor="text1"/>
        </w:rPr>
        <w:t>greed by the</w:t>
      </w:r>
      <w:r w:rsidR="009E1B80" w:rsidRPr="001D7A0E">
        <w:rPr>
          <w:color w:val="000000" w:themeColor="text1"/>
        </w:rPr>
        <w:t xml:space="preserve"> Council in February 2021</w:t>
      </w:r>
      <w:r w:rsidR="00F52E15" w:rsidRPr="001D7A0E">
        <w:rPr>
          <w:color w:val="000000" w:themeColor="text1"/>
        </w:rPr>
        <w:t xml:space="preserve"> was £</w:t>
      </w:r>
      <w:r w:rsidR="00E67CEB" w:rsidRPr="001D7A0E">
        <w:rPr>
          <w:color w:val="000000" w:themeColor="text1"/>
        </w:rPr>
        <w:t>23.647</w:t>
      </w:r>
      <w:r w:rsidR="001E7192" w:rsidRPr="001D7A0E">
        <w:rPr>
          <w:color w:val="000000" w:themeColor="text1"/>
        </w:rPr>
        <w:t xml:space="preserve"> </w:t>
      </w:r>
      <w:r w:rsidR="007E75B1" w:rsidRPr="001D7A0E">
        <w:rPr>
          <w:color w:val="000000" w:themeColor="text1"/>
        </w:rPr>
        <w:t>million. Since setting</w:t>
      </w:r>
      <w:r w:rsidR="00F52E15" w:rsidRPr="001D7A0E">
        <w:rPr>
          <w:color w:val="000000" w:themeColor="text1"/>
        </w:rPr>
        <w:t xml:space="preserve"> the budget</w:t>
      </w:r>
      <w:r w:rsidR="000F1081" w:rsidRPr="001D7A0E">
        <w:rPr>
          <w:color w:val="000000" w:themeColor="text1"/>
        </w:rPr>
        <w:t>, service area expenditure</w:t>
      </w:r>
      <w:r w:rsidR="007E75B1" w:rsidRPr="001D7A0E">
        <w:rPr>
          <w:color w:val="000000" w:themeColor="text1"/>
        </w:rPr>
        <w:t xml:space="preserve"> </w:t>
      </w:r>
      <w:r w:rsidR="004E7EEE" w:rsidRPr="001D7A0E">
        <w:rPr>
          <w:color w:val="000000" w:themeColor="text1"/>
        </w:rPr>
        <w:t>has de</w:t>
      </w:r>
      <w:r w:rsidR="00C32898" w:rsidRPr="001D7A0E">
        <w:rPr>
          <w:color w:val="000000" w:themeColor="text1"/>
        </w:rPr>
        <w:t xml:space="preserve">creased </w:t>
      </w:r>
      <w:r w:rsidR="007E75B1" w:rsidRPr="001D7A0E">
        <w:rPr>
          <w:color w:val="000000" w:themeColor="text1"/>
        </w:rPr>
        <w:t xml:space="preserve">by </w:t>
      </w:r>
      <w:r w:rsidR="00DA6824" w:rsidRPr="001D7A0E">
        <w:rPr>
          <w:color w:val="000000" w:themeColor="text1"/>
        </w:rPr>
        <w:t xml:space="preserve">a </w:t>
      </w:r>
      <w:r w:rsidR="00A31C7F" w:rsidRPr="001D7A0E">
        <w:rPr>
          <w:color w:val="000000" w:themeColor="text1"/>
        </w:rPr>
        <w:t>net total</w:t>
      </w:r>
      <w:r w:rsidR="00DA6824" w:rsidRPr="001D7A0E">
        <w:rPr>
          <w:color w:val="000000" w:themeColor="text1"/>
        </w:rPr>
        <w:t xml:space="preserve"> of </w:t>
      </w:r>
      <w:r w:rsidR="007E75B1" w:rsidRPr="001D7A0E">
        <w:rPr>
          <w:color w:val="000000" w:themeColor="text1"/>
        </w:rPr>
        <w:t>£</w:t>
      </w:r>
      <w:r w:rsidR="001D7A0E" w:rsidRPr="001D7A0E">
        <w:rPr>
          <w:color w:val="000000" w:themeColor="text1"/>
        </w:rPr>
        <w:t>2.818</w:t>
      </w:r>
      <w:r w:rsidR="009E1B80" w:rsidRPr="001D7A0E">
        <w:rPr>
          <w:color w:val="000000" w:themeColor="text1"/>
        </w:rPr>
        <w:t xml:space="preserve"> </w:t>
      </w:r>
      <w:r w:rsidR="007E75B1" w:rsidRPr="001D7A0E">
        <w:rPr>
          <w:color w:val="000000" w:themeColor="text1"/>
        </w:rPr>
        <w:t>million</w:t>
      </w:r>
      <w:r w:rsidR="00A31C7F" w:rsidRPr="001D7A0E">
        <w:rPr>
          <w:color w:val="000000" w:themeColor="text1"/>
        </w:rPr>
        <w:t xml:space="preserve">, this </w:t>
      </w:r>
      <w:r w:rsidR="00C41ADA" w:rsidRPr="001D7A0E">
        <w:rPr>
          <w:color w:val="000000" w:themeColor="text1"/>
        </w:rPr>
        <w:t xml:space="preserve">is </w:t>
      </w:r>
      <w:r w:rsidR="00BB420C" w:rsidRPr="001D7A0E">
        <w:rPr>
          <w:color w:val="000000" w:themeColor="text1"/>
        </w:rPr>
        <w:t xml:space="preserve">due to </w:t>
      </w:r>
      <w:r w:rsidR="00C41ADA" w:rsidRPr="001D7A0E">
        <w:rPr>
          <w:color w:val="000000" w:themeColor="text1"/>
        </w:rPr>
        <w:t xml:space="preserve">a combination of </w:t>
      </w:r>
      <w:proofErr w:type="spellStart"/>
      <w:r w:rsidR="00C41ADA" w:rsidRPr="001D7A0E">
        <w:rPr>
          <w:color w:val="000000" w:themeColor="text1"/>
        </w:rPr>
        <w:t>virements</w:t>
      </w:r>
      <w:proofErr w:type="spellEnd"/>
      <w:r w:rsidR="00C41ADA" w:rsidRPr="001D7A0E">
        <w:rPr>
          <w:color w:val="000000" w:themeColor="text1"/>
        </w:rPr>
        <w:t xml:space="preserve"> within service areas</w:t>
      </w:r>
      <w:r w:rsidR="009E1B80" w:rsidRPr="001D7A0E">
        <w:rPr>
          <w:color w:val="000000" w:themeColor="text1"/>
        </w:rPr>
        <w:t xml:space="preserve"> and </w:t>
      </w:r>
      <w:r w:rsidR="00B954BE" w:rsidRPr="001D7A0E">
        <w:rPr>
          <w:color w:val="000000" w:themeColor="text1"/>
        </w:rPr>
        <w:t>additions to</w:t>
      </w:r>
      <w:r w:rsidR="00C41ADA" w:rsidRPr="001D7A0E">
        <w:rPr>
          <w:color w:val="000000" w:themeColor="text1"/>
        </w:rPr>
        <w:t xml:space="preserve"> reserves</w:t>
      </w:r>
      <w:r w:rsidR="00B954BE" w:rsidRPr="001D7A0E">
        <w:rPr>
          <w:color w:val="000000" w:themeColor="text1"/>
        </w:rPr>
        <w:t xml:space="preserve"> of grant income received</w:t>
      </w:r>
      <w:r w:rsidR="009E1B80" w:rsidRPr="001D7A0E">
        <w:rPr>
          <w:color w:val="000000" w:themeColor="text1"/>
        </w:rPr>
        <w:t xml:space="preserve">.   </w:t>
      </w:r>
      <w:r w:rsidR="005F01A3" w:rsidRPr="001D7A0E">
        <w:rPr>
          <w:color w:val="000000" w:themeColor="text1"/>
        </w:rPr>
        <w:t xml:space="preserve">The </w:t>
      </w:r>
      <w:r w:rsidR="007E75B1" w:rsidRPr="001D7A0E">
        <w:rPr>
          <w:color w:val="000000" w:themeColor="text1"/>
        </w:rPr>
        <w:t>Net Budget Requirement remains</w:t>
      </w:r>
      <w:r w:rsidR="00B32485" w:rsidRPr="001D7A0E">
        <w:rPr>
          <w:color w:val="000000" w:themeColor="text1"/>
        </w:rPr>
        <w:t xml:space="preserve"> </w:t>
      </w:r>
      <w:r w:rsidR="0018749F" w:rsidRPr="001D7A0E">
        <w:rPr>
          <w:color w:val="000000" w:themeColor="text1"/>
        </w:rPr>
        <w:t>unchanged</w:t>
      </w:r>
      <w:r w:rsidR="007E75B1" w:rsidRPr="001D7A0E">
        <w:rPr>
          <w:color w:val="000000" w:themeColor="text1"/>
        </w:rPr>
        <w:t>.</w:t>
      </w:r>
      <w:r w:rsidR="00C84C29" w:rsidRPr="001D7A0E">
        <w:rPr>
          <w:color w:val="000000" w:themeColor="text1"/>
        </w:rPr>
        <w:t xml:space="preserve">  </w:t>
      </w:r>
    </w:p>
    <w:p w:rsidR="00C41ADA" w:rsidRPr="001D7A0E" w:rsidRDefault="00B32485" w:rsidP="005570B5">
      <w:pPr>
        <w:pStyle w:val="ListParagraph"/>
        <w:rPr>
          <w:color w:val="000000" w:themeColor="text1"/>
        </w:rPr>
      </w:pPr>
      <w:proofErr w:type="spellStart"/>
      <w:r w:rsidRPr="001D7A0E">
        <w:rPr>
          <w:color w:val="000000" w:themeColor="text1"/>
        </w:rPr>
        <w:t>V</w:t>
      </w:r>
      <w:r w:rsidR="00F431BC" w:rsidRPr="001D7A0E">
        <w:rPr>
          <w:color w:val="000000" w:themeColor="text1"/>
        </w:rPr>
        <w:t>irements</w:t>
      </w:r>
      <w:proofErr w:type="spellEnd"/>
      <w:r w:rsidR="001E7192" w:rsidRPr="001D7A0E">
        <w:rPr>
          <w:color w:val="000000" w:themeColor="text1"/>
        </w:rPr>
        <w:t xml:space="preserve"> between service areas</w:t>
      </w:r>
      <w:r w:rsidR="00F431BC" w:rsidRPr="001D7A0E">
        <w:rPr>
          <w:color w:val="000000" w:themeColor="text1"/>
        </w:rPr>
        <w:t>,</w:t>
      </w:r>
      <w:r w:rsidR="00406D7A" w:rsidRPr="001D7A0E">
        <w:rPr>
          <w:color w:val="000000" w:themeColor="text1"/>
        </w:rPr>
        <w:t xml:space="preserve"> were</w:t>
      </w:r>
      <w:r w:rsidR="00F431BC" w:rsidRPr="001D7A0E">
        <w:rPr>
          <w:color w:val="000000" w:themeColor="text1"/>
        </w:rPr>
        <w:t xml:space="preserve"> authorised under delegated powers by the Council’s Head of Financial Services totalling £</w:t>
      </w:r>
      <w:r w:rsidR="002C45FC" w:rsidRPr="001D7A0E">
        <w:rPr>
          <w:color w:val="000000" w:themeColor="text1"/>
        </w:rPr>
        <w:t>0.</w:t>
      </w:r>
      <w:r w:rsidR="00B153AB" w:rsidRPr="001D7A0E">
        <w:rPr>
          <w:color w:val="000000" w:themeColor="text1"/>
        </w:rPr>
        <w:t>338</w:t>
      </w:r>
      <w:r w:rsidR="002C45FC" w:rsidRPr="001D7A0E">
        <w:rPr>
          <w:color w:val="000000" w:themeColor="text1"/>
        </w:rPr>
        <w:t xml:space="preserve"> million</w:t>
      </w:r>
      <w:r w:rsidR="00133FCB" w:rsidRPr="001D7A0E">
        <w:rPr>
          <w:color w:val="000000" w:themeColor="text1"/>
        </w:rPr>
        <w:t>,</w:t>
      </w:r>
      <w:r w:rsidR="001826BE" w:rsidRPr="001D7A0E">
        <w:rPr>
          <w:color w:val="000000" w:themeColor="text1"/>
        </w:rPr>
        <w:t xml:space="preserve"> </w:t>
      </w:r>
      <w:r w:rsidR="00133FCB" w:rsidRPr="001D7A0E">
        <w:rPr>
          <w:color w:val="000000" w:themeColor="text1"/>
        </w:rPr>
        <w:t>t</w:t>
      </w:r>
      <w:r w:rsidR="00F431BC" w:rsidRPr="001D7A0E">
        <w:rPr>
          <w:color w:val="000000" w:themeColor="text1"/>
        </w:rPr>
        <w:t>he most notable of which</w:t>
      </w:r>
      <w:r w:rsidR="00C41ADA" w:rsidRPr="001D7A0E">
        <w:rPr>
          <w:color w:val="000000" w:themeColor="text1"/>
        </w:rPr>
        <w:t xml:space="preserve"> </w:t>
      </w:r>
      <w:r w:rsidR="00406D7A" w:rsidRPr="001D7A0E">
        <w:rPr>
          <w:color w:val="000000" w:themeColor="text1"/>
        </w:rPr>
        <w:t>relate</w:t>
      </w:r>
      <w:r w:rsidR="003C7DE4" w:rsidRPr="001D7A0E">
        <w:rPr>
          <w:color w:val="000000" w:themeColor="text1"/>
        </w:rPr>
        <w:t>s</w:t>
      </w:r>
      <w:r w:rsidR="00406D7A" w:rsidRPr="001D7A0E">
        <w:rPr>
          <w:color w:val="000000" w:themeColor="text1"/>
        </w:rPr>
        <w:t xml:space="preserve"> to</w:t>
      </w:r>
      <w:r w:rsidR="00C41ADA" w:rsidRPr="001D7A0E">
        <w:rPr>
          <w:color w:val="000000" w:themeColor="text1"/>
        </w:rPr>
        <w:t xml:space="preserve"> the re</w:t>
      </w:r>
      <w:r w:rsidR="00744A70" w:rsidRPr="001D7A0E">
        <w:rPr>
          <w:color w:val="000000" w:themeColor="text1"/>
        </w:rPr>
        <w:t xml:space="preserve">distribution of funding </w:t>
      </w:r>
      <w:r w:rsidR="00053D19" w:rsidRPr="001D7A0E">
        <w:rPr>
          <w:color w:val="000000" w:themeColor="text1"/>
        </w:rPr>
        <w:t>for Tree Officers from Environmental Sustainability to Planning</w:t>
      </w:r>
      <w:r w:rsidR="009062A0">
        <w:rPr>
          <w:color w:val="000000" w:themeColor="text1"/>
        </w:rPr>
        <w:t>, realignment of planning budgets and the movement of garage income budget from Housing Services to Corporate Property.</w:t>
      </w:r>
    </w:p>
    <w:p w:rsidR="003025E1" w:rsidRPr="00E04DF8" w:rsidRDefault="00406D7A" w:rsidP="005570B5">
      <w:pPr>
        <w:pStyle w:val="ListParagraph"/>
        <w:rPr>
          <w:color w:val="000000" w:themeColor="text1"/>
        </w:rPr>
      </w:pPr>
      <w:r w:rsidRPr="001D7A0E">
        <w:rPr>
          <w:color w:val="000000" w:themeColor="text1"/>
        </w:rPr>
        <w:lastRenderedPageBreak/>
        <w:t xml:space="preserve">The </w:t>
      </w:r>
      <w:r w:rsidR="00053D19" w:rsidRPr="001D7A0E">
        <w:rPr>
          <w:color w:val="000000" w:themeColor="text1"/>
        </w:rPr>
        <w:t>contribution to</w:t>
      </w:r>
      <w:r w:rsidR="00C41ADA" w:rsidRPr="001D7A0E">
        <w:rPr>
          <w:color w:val="000000" w:themeColor="text1"/>
        </w:rPr>
        <w:t xml:space="preserve"> reserves totals a net movement of </w:t>
      </w:r>
      <w:r w:rsidR="00F431BC" w:rsidRPr="001D7A0E">
        <w:rPr>
          <w:color w:val="000000" w:themeColor="text1"/>
        </w:rPr>
        <w:t>£</w:t>
      </w:r>
      <w:r w:rsidR="00053D19" w:rsidRPr="001D7A0E">
        <w:rPr>
          <w:color w:val="000000" w:themeColor="text1"/>
        </w:rPr>
        <w:t>1.</w:t>
      </w:r>
      <w:r w:rsidR="001D7A0E" w:rsidRPr="001D7A0E">
        <w:rPr>
          <w:color w:val="000000" w:themeColor="text1"/>
        </w:rPr>
        <w:t>602</w:t>
      </w:r>
      <w:r w:rsidR="001D7A0E">
        <w:rPr>
          <w:color w:val="000000" w:themeColor="text1"/>
        </w:rPr>
        <w:t xml:space="preserve"> </w:t>
      </w:r>
      <w:r w:rsidR="002C45FC" w:rsidRPr="001D7A0E">
        <w:rPr>
          <w:color w:val="000000" w:themeColor="text1"/>
        </w:rPr>
        <w:t>million</w:t>
      </w:r>
      <w:r w:rsidR="00C41ADA" w:rsidRPr="001D7A0E">
        <w:rPr>
          <w:color w:val="000000" w:themeColor="text1"/>
        </w:rPr>
        <w:t xml:space="preserve">, </w:t>
      </w:r>
      <w:r w:rsidR="00053D19" w:rsidRPr="001D7A0E">
        <w:rPr>
          <w:color w:val="000000" w:themeColor="text1"/>
        </w:rPr>
        <w:t>with the most significant movement being adding</w:t>
      </w:r>
      <w:r w:rsidR="003940F3" w:rsidRPr="001D7A0E">
        <w:rPr>
          <w:color w:val="000000" w:themeColor="text1"/>
        </w:rPr>
        <w:t xml:space="preserve"> the 2021/22 grant allocation </w:t>
      </w:r>
      <w:r w:rsidR="00F6586F">
        <w:rPr>
          <w:color w:val="000000" w:themeColor="text1"/>
        </w:rPr>
        <w:t xml:space="preserve">of £1.9 million </w:t>
      </w:r>
      <w:r w:rsidR="003940F3" w:rsidRPr="001D7A0E">
        <w:rPr>
          <w:color w:val="000000" w:themeColor="text1"/>
        </w:rPr>
        <w:t>received from</w:t>
      </w:r>
      <w:r w:rsidR="00053D19" w:rsidRPr="001D7A0E">
        <w:rPr>
          <w:color w:val="000000" w:themeColor="text1"/>
        </w:rPr>
        <w:t xml:space="preserve"> MHCLG </w:t>
      </w:r>
      <w:r w:rsidR="003940F3" w:rsidRPr="001D7A0E">
        <w:rPr>
          <w:color w:val="000000" w:themeColor="text1"/>
        </w:rPr>
        <w:t xml:space="preserve">for both </w:t>
      </w:r>
      <w:r w:rsidR="00053D19" w:rsidRPr="001D7A0E">
        <w:rPr>
          <w:color w:val="000000" w:themeColor="text1"/>
        </w:rPr>
        <w:t>homeless</w:t>
      </w:r>
      <w:r w:rsidR="003A1AD0" w:rsidRPr="001D7A0E">
        <w:rPr>
          <w:color w:val="000000" w:themeColor="text1"/>
        </w:rPr>
        <w:t xml:space="preserve"> prevention</w:t>
      </w:r>
      <w:r w:rsidR="00053D19" w:rsidRPr="001D7A0E">
        <w:rPr>
          <w:color w:val="000000" w:themeColor="text1"/>
        </w:rPr>
        <w:t xml:space="preserve"> and rough sleeping</w:t>
      </w:r>
      <w:r w:rsidR="003A1AD0" w:rsidRPr="001D7A0E">
        <w:rPr>
          <w:color w:val="000000" w:themeColor="text1"/>
        </w:rPr>
        <w:t xml:space="preserve"> initiative</w:t>
      </w:r>
      <w:r w:rsidR="00053D19" w:rsidRPr="001D7A0E">
        <w:rPr>
          <w:color w:val="000000" w:themeColor="text1"/>
        </w:rPr>
        <w:t xml:space="preserve"> funding to reserves.</w:t>
      </w:r>
      <w:r w:rsidR="00B83F15" w:rsidRPr="001D7A0E">
        <w:rPr>
          <w:color w:val="000000" w:themeColor="text1"/>
        </w:rPr>
        <w:t xml:space="preserve"> </w:t>
      </w:r>
      <w:r w:rsidR="003940F3" w:rsidRPr="001D7A0E">
        <w:rPr>
          <w:color w:val="000000" w:themeColor="text1"/>
        </w:rPr>
        <w:t xml:space="preserve">This has been paid to </w:t>
      </w:r>
      <w:r w:rsidR="004D0DAB">
        <w:rPr>
          <w:color w:val="000000" w:themeColor="text1"/>
        </w:rPr>
        <w:t>the Council</w:t>
      </w:r>
      <w:r w:rsidR="003940F3" w:rsidRPr="001D7A0E">
        <w:rPr>
          <w:color w:val="000000" w:themeColor="text1"/>
        </w:rPr>
        <w:t xml:space="preserve"> in advance and will be released into </w:t>
      </w:r>
      <w:r w:rsidR="003940F3" w:rsidRPr="00E04DF8">
        <w:rPr>
          <w:color w:val="000000" w:themeColor="text1"/>
        </w:rPr>
        <w:t>Revenue as and when expenditure is incurred.</w:t>
      </w:r>
    </w:p>
    <w:p w:rsidR="0021355D" w:rsidRPr="00E04DF8" w:rsidRDefault="00C10C69" w:rsidP="00E141C6">
      <w:pPr>
        <w:pStyle w:val="ListParagraph"/>
        <w:rPr>
          <w:color w:val="000000" w:themeColor="text1"/>
        </w:rPr>
      </w:pPr>
      <w:r w:rsidRPr="00E04DF8">
        <w:rPr>
          <w:color w:val="000000" w:themeColor="text1"/>
        </w:rPr>
        <w:t xml:space="preserve">As at </w:t>
      </w:r>
      <w:r w:rsidR="00F6586F">
        <w:rPr>
          <w:color w:val="000000" w:themeColor="text1"/>
        </w:rPr>
        <w:t>30</w:t>
      </w:r>
      <w:r w:rsidR="00F6586F" w:rsidRPr="00F6586F">
        <w:rPr>
          <w:color w:val="000000" w:themeColor="text1"/>
          <w:vertAlign w:val="superscript"/>
        </w:rPr>
        <w:t>th</w:t>
      </w:r>
      <w:r w:rsidR="00F6586F">
        <w:rPr>
          <w:color w:val="000000" w:themeColor="text1"/>
        </w:rPr>
        <w:t xml:space="preserve"> </w:t>
      </w:r>
      <w:r w:rsidR="001D7A0E" w:rsidRPr="00E04DF8">
        <w:rPr>
          <w:color w:val="000000" w:themeColor="text1"/>
        </w:rPr>
        <w:t>September</w:t>
      </w:r>
      <w:r w:rsidRPr="00E04DF8">
        <w:rPr>
          <w:color w:val="000000" w:themeColor="text1"/>
        </w:rPr>
        <w:t xml:space="preserve"> 2021</w:t>
      </w:r>
      <w:r w:rsidR="00E41699" w:rsidRPr="00E04DF8">
        <w:rPr>
          <w:color w:val="000000" w:themeColor="text1"/>
        </w:rPr>
        <w:t xml:space="preserve"> </w:t>
      </w:r>
      <w:r w:rsidRPr="00E04DF8">
        <w:rPr>
          <w:color w:val="000000" w:themeColor="text1"/>
        </w:rPr>
        <w:t xml:space="preserve">the General Fund Service Area is </w:t>
      </w:r>
      <w:r w:rsidR="001D7A0E" w:rsidRPr="00E04DF8">
        <w:rPr>
          <w:color w:val="000000" w:themeColor="text1"/>
        </w:rPr>
        <w:t>forecasting a favourable variance of £0.362 million</w:t>
      </w:r>
      <w:r w:rsidRPr="00E04DF8">
        <w:rPr>
          <w:color w:val="000000" w:themeColor="text1"/>
        </w:rPr>
        <w:t xml:space="preserve"> against the latest budget of £3</w:t>
      </w:r>
      <w:r w:rsidR="001D7A0E" w:rsidRPr="00E04DF8">
        <w:rPr>
          <w:color w:val="000000" w:themeColor="text1"/>
        </w:rPr>
        <w:t>2.976</w:t>
      </w:r>
      <w:r w:rsidRPr="00E04DF8">
        <w:rPr>
          <w:color w:val="000000" w:themeColor="text1"/>
        </w:rPr>
        <w:t xml:space="preserve"> million</w:t>
      </w:r>
      <w:r w:rsidR="001D7A0E" w:rsidRPr="00E04DF8">
        <w:rPr>
          <w:color w:val="000000" w:themeColor="text1"/>
        </w:rPr>
        <w:t xml:space="preserve">.  The main variances are </w:t>
      </w:r>
      <w:r w:rsidR="00E04DF8" w:rsidRPr="00E04DF8">
        <w:rPr>
          <w:color w:val="000000" w:themeColor="text1"/>
        </w:rPr>
        <w:t>detailed below:</w:t>
      </w:r>
      <w:r w:rsidRPr="00E04DF8">
        <w:rPr>
          <w:color w:val="000000" w:themeColor="text1"/>
        </w:rPr>
        <w:t xml:space="preserve">  </w:t>
      </w:r>
    </w:p>
    <w:p w:rsidR="00E04DF8" w:rsidRPr="00E04DF8" w:rsidRDefault="00E04DF8" w:rsidP="00E04DF8">
      <w:pPr>
        <w:pStyle w:val="ListParagraph"/>
        <w:numPr>
          <w:ilvl w:val="1"/>
          <w:numId w:val="2"/>
        </w:numPr>
        <w:rPr>
          <w:color w:val="000000" w:themeColor="text1"/>
        </w:rPr>
      </w:pPr>
      <w:r w:rsidRPr="00E04DF8">
        <w:rPr>
          <w:b/>
          <w:color w:val="000000" w:themeColor="text1"/>
        </w:rPr>
        <w:t>Housing Services</w:t>
      </w:r>
      <w:r w:rsidR="0021355D" w:rsidRPr="00E04DF8">
        <w:rPr>
          <w:color w:val="000000" w:themeColor="text1"/>
        </w:rPr>
        <w:t xml:space="preserve"> –</w:t>
      </w:r>
      <w:r w:rsidRPr="00E04DF8">
        <w:rPr>
          <w:color w:val="000000" w:themeColor="text1"/>
        </w:rPr>
        <w:t xml:space="preserve"> a favourable variance of £0.470 million, which is due to the one off in year budget set aside for Canterbury House and YHA no longer being required as DLUHC grant </w:t>
      </w:r>
      <w:r w:rsidR="004D0DAB">
        <w:rPr>
          <w:color w:val="000000" w:themeColor="text1"/>
        </w:rPr>
        <w:t>is</w:t>
      </w:r>
      <w:r w:rsidRPr="00E04DF8">
        <w:rPr>
          <w:color w:val="000000" w:themeColor="text1"/>
        </w:rPr>
        <w:t xml:space="preserve"> being used to fund this pressure;</w:t>
      </w:r>
    </w:p>
    <w:p w:rsidR="00E04DF8" w:rsidRPr="00E04DF8" w:rsidRDefault="00E04DF8" w:rsidP="00E04DF8">
      <w:pPr>
        <w:pStyle w:val="ListParagraph"/>
        <w:numPr>
          <w:ilvl w:val="1"/>
          <w:numId w:val="2"/>
        </w:numPr>
        <w:rPr>
          <w:color w:val="000000" w:themeColor="text1"/>
        </w:rPr>
      </w:pPr>
      <w:r w:rsidRPr="00E04DF8">
        <w:rPr>
          <w:b/>
          <w:color w:val="000000" w:themeColor="text1"/>
        </w:rPr>
        <w:t xml:space="preserve">Community Services - </w:t>
      </w:r>
      <w:r w:rsidRPr="00E04DF8">
        <w:rPr>
          <w:color w:val="000000" w:themeColor="text1"/>
        </w:rPr>
        <w:t>favourable variance of £0.251 million, largely relating to the Town Hall &amp; Facilities team.  The Town Hall income appears to be recovering better than expected and is forecast to be above the revised budgeted levels and savings have been made in both premises and supplies costs across the team;</w:t>
      </w:r>
    </w:p>
    <w:p w:rsidR="00E04DF8" w:rsidRPr="00E04DF8" w:rsidRDefault="00E04DF8" w:rsidP="00E04DF8">
      <w:pPr>
        <w:pStyle w:val="ListParagraph"/>
        <w:numPr>
          <w:ilvl w:val="1"/>
          <w:numId w:val="2"/>
        </w:numPr>
        <w:rPr>
          <w:color w:val="000000" w:themeColor="text1"/>
        </w:rPr>
      </w:pPr>
      <w:r w:rsidRPr="00E04DF8">
        <w:rPr>
          <w:b/>
          <w:color w:val="000000" w:themeColor="text1"/>
        </w:rPr>
        <w:t>Oxford Direct Services Client</w:t>
      </w:r>
      <w:r w:rsidRPr="00E04DF8">
        <w:rPr>
          <w:color w:val="000000" w:themeColor="text1"/>
        </w:rPr>
        <w:t xml:space="preserve"> </w:t>
      </w:r>
      <w:r w:rsidR="00F6586F">
        <w:rPr>
          <w:color w:val="000000" w:themeColor="text1"/>
        </w:rPr>
        <w:t xml:space="preserve">– there is a nil variance </w:t>
      </w:r>
      <w:r w:rsidR="00F043A7">
        <w:rPr>
          <w:color w:val="000000" w:themeColor="text1"/>
        </w:rPr>
        <w:t>driven by our recent success in a business rates appeal on Oxpens car park in relation to the unused decking, resulting in a refund of £300k</w:t>
      </w:r>
      <w:r w:rsidRPr="00E04DF8">
        <w:rPr>
          <w:color w:val="000000" w:themeColor="text1"/>
        </w:rPr>
        <w:t xml:space="preserve">.  Car </w:t>
      </w:r>
      <w:proofErr w:type="gramStart"/>
      <w:r w:rsidRPr="00E04DF8">
        <w:rPr>
          <w:color w:val="000000" w:themeColor="text1"/>
        </w:rPr>
        <w:t>Parking</w:t>
      </w:r>
      <w:proofErr w:type="gramEnd"/>
      <w:r w:rsidRPr="00E04DF8">
        <w:rPr>
          <w:color w:val="000000" w:themeColor="text1"/>
        </w:rPr>
        <w:t xml:space="preserve"> usage is </w:t>
      </w:r>
      <w:r w:rsidR="00CC1A09">
        <w:rPr>
          <w:color w:val="000000" w:themeColor="text1"/>
        </w:rPr>
        <w:t>now starting to</w:t>
      </w:r>
      <w:r w:rsidRPr="00E04DF8">
        <w:rPr>
          <w:color w:val="000000" w:themeColor="text1"/>
        </w:rPr>
        <w:t xml:space="preserve"> recover </w:t>
      </w:r>
      <w:r w:rsidR="00CC1A09">
        <w:rPr>
          <w:color w:val="000000" w:themeColor="text1"/>
        </w:rPr>
        <w:t>and becoming more in line</w:t>
      </w:r>
      <w:r w:rsidR="00F6586F">
        <w:rPr>
          <w:color w:val="000000" w:themeColor="text1"/>
        </w:rPr>
        <w:t xml:space="preserve"> with budget expectations</w:t>
      </w:r>
      <w:r w:rsidR="00CC1A09">
        <w:rPr>
          <w:color w:val="000000" w:themeColor="text1"/>
        </w:rPr>
        <w:t xml:space="preserve"> going forward, but losses were still suffered in the early part of the year which offset against the refund</w:t>
      </w:r>
      <w:r w:rsidR="00F6586F">
        <w:rPr>
          <w:color w:val="000000" w:themeColor="text1"/>
        </w:rPr>
        <w:t xml:space="preserve">.  </w:t>
      </w:r>
      <w:r w:rsidR="00F043A7">
        <w:rPr>
          <w:color w:val="000000" w:themeColor="text1"/>
        </w:rPr>
        <w:t>The Council are still</w:t>
      </w:r>
      <w:r w:rsidR="00CC1A09">
        <w:rPr>
          <w:color w:val="000000" w:themeColor="text1"/>
        </w:rPr>
        <w:t xml:space="preserve"> </w:t>
      </w:r>
      <w:r w:rsidR="00F6586F">
        <w:rPr>
          <w:color w:val="000000" w:themeColor="text1"/>
        </w:rPr>
        <w:t xml:space="preserve">anticipating </w:t>
      </w:r>
      <w:r w:rsidR="00F043A7">
        <w:rPr>
          <w:color w:val="000000" w:themeColor="text1"/>
        </w:rPr>
        <w:t>a dividend</w:t>
      </w:r>
      <w:r w:rsidR="00F6586F">
        <w:rPr>
          <w:color w:val="000000" w:themeColor="text1"/>
        </w:rPr>
        <w:t xml:space="preserve"> of </w:t>
      </w:r>
      <w:r w:rsidR="00B91677">
        <w:rPr>
          <w:color w:val="000000" w:themeColor="text1"/>
        </w:rPr>
        <w:t xml:space="preserve">at least </w:t>
      </w:r>
      <w:r w:rsidR="00F6586F">
        <w:rPr>
          <w:color w:val="000000" w:themeColor="text1"/>
        </w:rPr>
        <w:t>£0.600k in relation to 2020/21</w:t>
      </w:r>
      <w:r w:rsidR="00F043A7">
        <w:rPr>
          <w:color w:val="000000" w:themeColor="text1"/>
        </w:rPr>
        <w:t xml:space="preserve"> company surpluses which is still </w:t>
      </w:r>
      <w:r w:rsidR="00F6586F">
        <w:rPr>
          <w:color w:val="000000" w:themeColor="text1"/>
        </w:rPr>
        <w:t>awaiting an ODS board decision</w:t>
      </w:r>
      <w:r w:rsidRPr="00E04DF8">
        <w:rPr>
          <w:color w:val="000000" w:themeColor="text1"/>
        </w:rPr>
        <w:t>:</w:t>
      </w:r>
    </w:p>
    <w:p w:rsidR="00E04DF8" w:rsidRPr="00E04DF8" w:rsidRDefault="00E04DF8" w:rsidP="00E04DF8">
      <w:pPr>
        <w:pStyle w:val="ListParagraph"/>
        <w:numPr>
          <w:ilvl w:val="1"/>
          <w:numId w:val="2"/>
        </w:numPr>
        <w:rPr>
          <w:color w:val="000000" w:themeColor="text1"/>
        </w:rPr>
      </w:pPr>
      <w:r w:rsidRPr="00E04DF8">
        <w:rPr>
          <w:b/>
          <w:color w:val="000000" w:themeColor="text1"/>
        </w:rPr>
        <w:t>Business Improvement</w:t>
      </w:r>
      <w:r w:rsidRPr="00E04DF8">
        <w:rPr>
          <w:color w:val="000000" w:themeColor="text1"/>
        </w:rPr>
        <w:t xml:space="preserve"> - adverse variance of £0.211 million.   £0.150 million relates to additional costs being incurred to extend the current</w:t>
      </w:r>
      <w:r w:rsidR="00F6586F">
        <w:rPr>
          <w:color w:val="000000" w:themeColor="text1"/>
        </w:rPr>
        <w:t xml:space="preserve"> transformation </w:t>
      </w:r>
      <w:r w:rsidRPr="00E04DF8">
        <w:rPr>
          <w:color w:val="000000" w:themeColor="text1"/>
        </w:rPr>
        <w:t xml:space="preserve">team until the end of the financial year.   The remainder is a staffing cost pressure in Customer Services </w:t>
      </w:r>
      <w:r w:rsidR="00F6586F">
        <w:rPr>
          <w:color w:val="000000" w:themeColor="text1"/>
        </w:rPr>
        <w:t>due to staff</w:t>
      </w:r>
      <w:r w:rsidRPr="00E04DF8">
        <w:rPr>
          <w:color w:val="000000" w:themeColor="text1"/>
        </w:rPr>
        <w:t xml:space="preserve"> turnover </w:t>
      </w:r>
      <w:r w:rsidR="00F6586F">
        <w:rPr>
          <w:color w:val="000000" w:themeColor="text1"/>
        </w:rPr>
        <w:t>being less than previously experienced</w:t>
      </w:r>
      <w:r w:rsidRPr="00E04DF8">
        <w:rPr>
          <w:color w:val="000000" w:themeColor="text1"/>
        </w:rPr>
        <w:t>:</w:t>
      </w:r>
    </w:p>
    <w:p w:rsidR="00E04DF8" w:rsidRPr="00E04DF8" w:rsidRDefault="00E04DF8" w:rsidP="00E04DF8">
      <w:pPr>
        <w:pStyle w:val="ListParagraph"/>
        <w:numPr>
          <w:ilvl w:val="1"/>
          <w:numId w:val="2"/>
        </w:numPr>
        <w:rPr>
          <w:color w:val="FF0000"/>
        </w:rPr>
      </w:pPr>
      <w:r w:rsidRPr="00E04DF8">
        <w:rPr>
          <w:b/>
          <w:color w:val="000000" w:themeColor="text1"/>
        </w:rPr>
        <w:t>Law &amp; Governance</w:t>
      </w:r>
      <w:r w:rsidRPr="00E04DF8">
        <w:rPr>
          <w:color w:val="000000" w:themeColor="text1"/>
        </w:rPr>
        <w:t xml:space="preserve"> - the adverse variance of £0.120 million remains due to an ongoing difficulty to recruit </w:t>
      </w:r>
      <w:r w:rsidRPr="00146BE2">
        <w:t>to permanent posts within the establishment and therefore being reliant on the use of temporary staff which are more expensive</w:t>
      </w:r>
    </w:p>
    <w:p w:rsidR="00E04DF8" w:rsidRPr="00AB76C3" w:rsidRDefault="00E04DF8" w:rsidP="00E04DF8">
      <w:pPr>
        <w:pStyle w:val="ListParagraph"/>
        <w:numPr>
          <w:ilvl w:val="1"/>
          <w:numId w:val="2"/>
        </w:numPr>
        <w:rPr>
          <w:color w:val="FF0000"/>
        </w:rPr>
      </w:pPr>
      <w:r w:rsidRPr="00E04DF8">
        <w:rPr>
          <w:b/>
        </w:rPr>
        <w:t>Corporate Accounts</w:t>
      </w:r>
      <w:r w:rsidRPr="00795B17">
        <w:t xml:space="preserve"> – a favourable </w:t>
      </w:r>
      <w:r w:rsidR="00F043A7">
        <w:t xml:space="preserve">net </w:t>
      </w:r>
      <w:r w:rsidRPr="00795B17">
        <w:t>variance of £0.211 million ov</w:t>
      </w:r>
      <w:r>
        <w:t xml:space="preserve">er the interest receivable and interest payable budget lines.  </w:t>
      </w:r>
      <w:r w:rsidR="00F043A7">
        <w:t xml:space="preserve">This </w:t>
      </w:r>
      <w:r>
        <w:t xml:space="preserve">variance </w:t>
      </w:r>
      <w:r w:rsidR="00F043A7">
        <w:t xml:space="preserve">arises </w:t>
      </w:r>
      <w:r>
        <w:t xml:space="preserve">due to </w:t>
      </w:r>
      <w:r w:rsidR="00AB76C3">
        <w:t>less than anticipated external borrowing due to delays in the capital programme</w:t>
      </w:r>
      <w:r w:rsidR="00771F65">
        <w:t xml:space="preserve"> and </w:t>
      </w:r>
      <w:r w:rsidR="00F043A7">
        <w:t>l</w:t>
      </w:r>
      <w:r w:rsidR="00AB76C3">
        <w:t>ower than anticipated lending to companies</w:t>
      </w:r>
    </w:p>
    <w:p w:rsidR="00FD4A43" w:rsidRPr="00E04DF8" w:rsidRDefault="00FD4A43" w:rsidP="00E04DF8">
      <w:pPr>
        <w:ind w:left="720"/>
        <w:rPr>
          <w:color w:val="FF0000"/>
        </w:rPr>
      </w:pPr>
    </w:p>
    <w:p w:rsidR="007F6499" w:rsidRDefault="007F6499" w:rsidP="007F6499">
      <w:pPr>
        <w:pStyle w:val="ListParagraph"/>
        <w:rPr>
          <w:color w:val="000000" w:themeColor="text1"/>
        </w:rPr>
      </w:pPr>
      <w:r w:rsidRPr="00033F77">
        <w:rPr>
          <w:color w:val="000000" w:themeColor="text1"/>
        </w:rPr>
        <w:t xml:space="preserve">To mitigate some of </w:t>
      </w:r>
      <w:r w:rsidR="00033F77" w:rsidRPr="00033F77">
        <w:rPr>
          <w:color w:val="000000" w:themeColor="text1"/>
        </w:rPr>
        <w:t>the</w:t>
      </w:r>
      <w:r w:rsidRPr="00033F77">
        <w:rPr>
          <w:color w:val="000000" w:themeColor="text1"/>
        </w:rPr>
        <w:t xml:space="preserve"> losses</w:t>
      </w:r>
      <w:r w:rsidR="009B76C1" w:rsidRPr="00033F77">
        <w:rPr>
          <w:color w:val="000000" w:themeColor="text1"/>
        </w:rPr>
        <w:t xml:space="preserve"> of income</w:t>
      </w:r>
      <w:r w:rsidRPr="00033F77">
        <w:rPr>
          <w:color w:val="000000" w:themeColor="text1"/>
        </w:rPr>
        <w:t xml:space="preserve"> the Council </w:t>
      </w:r>
      <w:r w:rsidR="00033F77" w:rsidRPr="00033F77">
        <w:rPr>
          <w:color w:val="000000" w:themeColor="text1"/>
        </w:rPr>
        <w:t>has</w:t>
      </w:r>
      <w:r w:rsidRPr="00033F77">
        <w:rPr>
          <w:color w:val="000000" w:themeColor="text1"/>
        </w:rPr>
        <w:t xml:space="preserve"> submitt</w:t>
      </w:r>
      <w:r w:rsidR="00033F77" w:rsidRPr="00033F77">
        <w:rPr>
          <w:color w:val="000000" w:themeColor="text1"/>
        </w:rPr>
        <w:t>ed</w:t>
      </w:r>
      <w:r w:rsidRPr="00033F77">
        <w:rPr>
          <w:color w:val="000000" w:themeColor="text1"/>
        </w:rPr>
        <w:t xml:space="preserve"> a claim through the Sales, Fees &amp; Charges compensation scheme which the Government extended to cover lost income up to and including 30</w:t>
      </w:r>
      <w:r w:rsidRPr="00033F77">
        <w:rPr>
          <w:color w:val="000000" w:themeColor="text1"/>
          <w:vertAlign w:val="superscript"/>
        </w:rPr>
        <w:t>th</w:t>
      </w:r>
      <w:r w:rsidRPr="00033F77">
        <w:rPr>
          <w:color w:val="000000" w:themeColor="text1"/>
        </w:rPr>
        <w:t xml:space="preserve"> June</w:t>
      </w:r>
      <w:r w:rsidR="002F7BC8">
        <w:rPr>
          <w:color w:val="000000" w:themeColor="text1"/>
        </w:rPr>
        <w:t>, this is expected to be approx. £1.1 million</w:t>
      </w:r>
      <w:r w:rsidRPr="00033F77">
        <w:rPr>
          <w:color w:val="000000" w:themeColor="text1"/>
        </w:rPr>
        <w:t>.   It is important to note that the scheme, which covers 75% of losses incurred compared to the budget position allowing for a 5% threshold, does not cover commercial losses</w:t>
      </w:r>
      <w:r w:rsidR="00EB1712" w:rsidRPr="00033F77">
        <w:rPr>
          <w:color w:val="000000" w:themeColor="text1"/>
        </w:rPr>
        <w:t xml:space="preserve"> from tenant rents or returns from companies.</w:t>
      </w:r>
    </w:p>
    <w:p w:rsidR="00C1470A" w:rsidRDefault="00C1470A" w:rsidP="00C1470A">
      <w:pPr>
        <w:pStyle w:val="ListParagraph"/>
        <w:numPr>
          <w:ilvl w:val="0"/>
          <w:numId w:val="0"/>
        </w:numPr>
        <w:ind w:left="786"/>
        <w:rPr>
          <w:color w:val="000000" w:themeColor="text1"/>
        </w:rPr>
      </w:pPr>
    </w:p>
    <w:p w:rsidR="00771F65" w:rsidRPr="00EA2C63" w:rsidRDefault="00771F65" w:rsidP="00EA2C63">
      <w:pPr>
        <w:ind w:left="426"/>
        <w:rPr>
          <w:b/>
          <w:color w:val="000000" w:themeColor="text1"/>
        </w:rPr>
      </w:pPr>
      <w:r w:rsidRPr="00EA2C63">
        <w:rPr>
          <w:b/>
          <w:color w:val="000000" w:themeColor="text1"/>
        </w:rPr>
        <w:lastRenderedPageBreak/>
        <w:t>Homelessness Grant Bid</w:t>
      </w:r>
    </w:p>
    <w:p w:rsidR="00771F65" w:rsidRDefault="00771F65" w:rsidP="007F6499">
      <w:pPr>
        <w:pStyle w:val="ListParagraph"/>
        <w:rPr>
          <w:color w:val="000000" w:themeColor="text1"/>
        </w:rPr>
      </w:pPr>
      <w:r>
        <w:rPr>
          <w:color w:val="000000" w:themeColor="text1"/>
        </w:rPr>
        <w:t xml:space="preserve">A report was submitted to Cabinet on 15 Sept 2021 which gave approval for a scheme to purchase properties for the housing of homeless families funding by a £2million investment from council resources, £2million march funding from DLUHC following a successful bid application and £2million from financiers Resonance.  </w:t>
      </w:r>
    </w:p>
    <w:p w:rsidR="006626A3" w:rsidRPr="00771F65" w:rsidRDefault="00771F65" w:rsidP="00F50A86">
      <w:pPr>
        <w:pStyle w:val="ListParagraph"/>
        <w:rPr>
          <w:color w:val="000000" w:themeColor="text1"/>
        </w:rPr>
      </w:pPr>
      <w:r w:rsidRPr="00771F65">
        <w:rPr>
          <w:color w:val="000000" w:themeColor="text1"/>
        </w:rPr>
        <w:t xml:space="preserve"> Approval was given </w:t>
      </w:r>
      <w:r w:rsidR="00B91677">
        <w:rPr>
          <w:color w:val="000000" w:themeColor="text1"/>
        </w:rPr>
        <w:t xml:space="preserve">by Cabinet and subsequently Council </w:t>
      </w:r>
      <w:r w:rsidRPr="00771F65">
        <w:rPr>
          <w:color w:val="000000" w:themeColor="text1"/>
        </w:rPr>
        <w:t xml:space="preserve">for the £2million investment together with the appropriate capital budget. Since the successful bid to DLUHC they have confirmed that the £2million funding from them will be given by Section 31 grant and </w:t>
      </w:r>
      <w:r w:rsidR="00B91677" w:rsidRPr="00771F65">
        <w:rPr>
          <w:color w:val="000000" w:themeColor="text1"/>
        </w:rPr>
        <w:t>consequently</w:t>
      </w:r>
      <w:r w:rsidRPr="00771F65">
        <w:rPr>
          <w:color w:val="000000" w:themeColor="text1"/>
        </w:rPr>
        <w:t xml:space="preserve"> initial capital spend required by the Council will be £4 million</w:t>
      </w:r>
      <w:r w:rsidR="00B91677">
        <w:rPr>
          <w:color w:val="000000" w:themeColor="text1"/>
        </w:rPr>
        <w:t xml:space="preserve"> with £2million being claimed from the Government</w:t>
      </w:r>
      <w:r w:rsidRPr="00771F65">
        <w:rPr>
          <w:color w:val="000000" w:themeColor="text1"/>
        </w:rPr>
        <w:t>. Council approval will be required for t</w:t>
      </w:r>
      <w:r w:rsidR="00B91677">
        <w:rPr>
          <w:color w:val="000000" w:themeColor="text1"/>
        </w:rPr>
        <w:t>his additional £2million spend although there is no net overall difference to the Councils finances that was originally approved.</w:t>
      </w:r>
    </w:p>
    <w:p w:rsidR="008D5B32" w:rsidRPr="00033F77" w:rsidRDefault="008D5B32" w:rsidP="003976F3">
      <w:pPr>
        <w:pStyle w:val="Heading1"/>
        <w:rPr>
          <w:color w:val="000000" w:themeColor="text1"/>
        </w:rPr>
      </w:pPr>
      <w:r w:rsidRPr="00033F77">
        <w:rPr>
          <w:rFonts w:eastAsia="Calibri"/>
          <w:color w:val="000000" w:themeColor="text1"/>
        </w:rPr>
        <w:t>Housing Revenue Account</w:t>
      </w:r>
      <w:r w:rsidR="002B047B" w:rsidRPr="00033F77">
        <w:rPr>
          <w:rFonts w:eastAsia="Calibri"/>
          <w:color w:val="000000" w:themeColor="text1"/>
        </w:rPr>
        <w:t xml:space="preserve"> (“the HRA”)</w:t>
      </w:r>
    </w:p>
    <w:p w:rsidR="004722D2" w:rsidRPr="00033F77" w:rsidRDefault="002F567B" w:rsidP="003A1AD0">
      <w:pPr>
        <w:pStyle w:val="ListParagraph"/>
        <w:rPr>
          <w:color w:val="000000" w:themeColor="text1"/>
        </w:rPr>
      </w:pPr>
      <w:r w:rsidRPr="00033F77">
        <w:rPr>
          <w:rFonts w:cs="Arial"/>
          <w:color w:val="000000" w:themeColor="text1"/>
        </w:rPr>
        <w:t xml:space="preserve">The </w:t>
      </w:r>
      <w:r w:rsidR="002B047B" w:rsidRPr="00033F77">
        <w:rPr>
          <w:rFonts w:cs="Arial"/>
          <w:color w:val="000000" w:themeColor="text1"/>
        </w:rPr>
        <w:t xml:space="preserve">HRA </w:t>
      </w:r>
      <w:r w:rsidRPr="00033F77">
        <w:rPr>
          <w:rFonts w:cs="Arial"/>
          <w:color w:val="000000" w:themeColor="text1"/>
        </w:rPr>
        <w:t>budgeted surplus agreed</w:t>
      </w:r>
      <w:r w:rsidR="00C10C69" w:rsidRPr="00033F77">
        <w:rPr>
          <w:rFonts w:cs="Arial"/>
          <w:color w:val="000000" w:themeColor="text1"/>
        </w:rPr>
        <w:t xml:space="preserve"> by the Council in February 2021</w:t>
      </w:r>
      <w:r w:rsidRPr="00033F77">
        <w:rPr>
          <w:rFonts w:cs="Arial"/>
          <w:color w:val="000000" w:themeColor="text1"/>
        </w:rPr>
        <w:t xml:space="preserve"> was £0.</w:t>
      </w:r>
      <w:r w:rsidR="00C10C69" w:rsidRPr="00033F77">
        <w:rPr>
          <w:rFonts w:cs="Arial"/>
          <w:color w:val="000000" w:themeColor="text1"/>
        </w:rPr>
        <w:t xml:space="preserve">388 </w:t>
      </w:r>
      <w:r w:rsidRPr="00033F77">
        <w:rPr>
          <w:rFonts w:cs="Arial"/>
          <w:color w:val="000000" w:themeColor="text1"/>
        </w:rPr>
        <w:t xml:space="preserve">million.  The </w:t>
      </w:r>
      <w:r w:rsidR="00EB1712" w:rsidRPr="00033F77">
        <w:rPr>
          <w:rFonts w:cs="Arial"/>
          <w:color w:val="000000" w:themeColor="text1"/>
        </w:rPr>
        <w:t xml:space="preserve">forecast </w:t>
      </w:r>
      <w:r w:rsidRPr="00033F77">
        <w:rPr>
          <w:rFonts w:cs="Arial"/>
          <w:color w:val="000000" w:themeColor="text1"/>
        </w:rPr>
        <w:t xml:space="preserve">outturn </w:t>
      </w:r>
      <w:r w:rsidR="00EB1712" w:rsidRPr="00033F77">
        <w:rPr>
          <w:rFonts w:cs="Arial"/>
          <w:color w:val="000000" w:themeColor="text1"/>
        </w:rPr>
        <w:t>indicates a surplus of £0.359 million</w:t>
      </w:r>
      <w:r w:rsidR="00B641D9" w:rsidRPr="00033F77">
        <w:rPr>
          <w:rFonts w:cs="Arial"/>
          <w:color w:val="000000" w:themeColor="text1"/>
        </w:rPr>
        <w:t>,</w:t>
      </w:r>
      <w:r w:rsidR="00EB1712" w:rsidRPr="00033F77">
        <w:rPr>
          <w:rFonts w:cs="Arial"/>
          <w:color w:val="000000" w:themeColor="text1"/>
        </w:rPr>
        <w:t xml:space="preserve"> </w:t>
      </w:r>
      <w:r w:rsidR="00C10C69" w:rsidRPr="00033F77">
        <w:rPr>
          <w:rFonts w:cs="Arial"/>
          <w:color w:val="000000" w:themeColor="text1"/>
        </w:rPr>
        <w:t>a small</w:t>
      </w:r>
      <w:r w:rsidRPr="00033F77">
        <w:rPr>
          <w:rFonts w:cs="Arial"/>
          <w:color w:val="000000" w:themeColor="text1"/>
        </w:rPr>
        <w:t xml:space="preserve"> adverse variance of £</w:t>
      </w:r>
      <w:r w:rsidR="00C10C69" w:rsidRPr="00033F77">
        <w:rPr>
          <w:rFonts w:cs="Arial"/>
          <w:color w:val="000000" w:themeColor="text1"/>
        </w:rPr>
        <w:t xml:space="preserve">0.029 million against the agreed position.   </w:t>
      </w:r>
      <w:r w:rsidR="00D97707">
        <w:rPr>
          <w:rFonts w:cs="Arial"/>
          <w:color w:val="000000" w:themeColor="text1"/>
        </w:rPr>
        <w:t xml:space="preserve">As reported previously the implementation of the Housing Management System QL has </w:t>
      </w:r>
      <w:r w:rsidR="007C5ED4">
        <w:rPr>
          <w:rFonts w:cs="Arial"/>
          <w:color w:val="000000" w:themeColor="text1"/>
        </w:rPr>
        <w:t>caused</w:t>
      </w:r>
      <w:r w:rsidR="00D97707">
        <w:rPr>
          <w:rFonts w:cs="Arial"/>
          <w:color w:val="000000" w:themeColor="text1"/>
        </w:rPr>
        <w:t xml:space="preserve"> problems in the obtaining of financial management </w:t>
      </w:r>
      <w:r w:rsidR="007C5ED4">
        <w:rPr>
          <w:rFonts w:cs="Arial"/>
          <w:color w:val="000000" w:themeColor="text1"/>
        </w:rPr>
        <w:t>information</w:t>
      </w:r>
      <w:r w:rsidR="00D97707">
        <w:rPr>
          <w:rFonts w:cs="Arial"/>
          <w:color w:val="000000" w:themeColor="text1"/>
        </w:rPr>
        <w:t xml:space="preserve"> of work done by Oxford Direct Services. As a result actual expenditure is artificially low although the forecasts is our best estimate of the actual position</w:t>
      </w:r>
      <w:r w:rsidR="003A1AD0" w:rsidRPr="00033F77">
        <w:rPr>
          <w:rFonts w:cs="Arial"/>
          <w:color w:val="000000" w:themeColor="text1"/>
        </w:rPr>
        <w:t>.</w:t>
      </w:r>
      <w:r w:rsidR="003A1AD0" w:rsidRPr="00033F77">
        <w:rPr>
          <w:color w:val="000000" w:themeColor="text1"/>
        </w:rPr>
        <w:t xml:space="preserve">   The significant forecast changes are explained below:</w:t>
      </w:r>
    </w:p>
    <w:p w:rsidR="001B5939" w:rsidRPr="00033F77" w:rsidRDefault="002F567B" w:rsidP="004722D2">
      <w:pPr>
        <w:pStyle w:val="ListParagraph"/>
        <w:numPr>
          <w:ilvl w:val="1"/>
          <w:numId w:val="35"/>
        </w:numPr>
        <w:contextualSpacing/>
        <w:rPr>
          <w:b/>
          <w:color w:val="000000" w:themeColor="text1"/>
          <w:sz w:val="22"/>
        </w:rPr>
      </w:pPr>
      <w:r w:rsidRPr="00033F77">
        <w:rPr>
          <w:color w:val="000000" w:themeColor="text1"/>
        </w:rPr>
        <w:t>Dwelling Rent - £</w:t>
      </w:r>
      <w:r w:rsidR="00126F0D" w:rsidRPr="00033F77">
        <w:rPr>
          <w:color w:val="000000" w:themeColor="text1"/>
        </w:rPr>
        <w:t xml:space="preserve">1.110 million reduction in rental income </w:t>
      </w:r>
      <w:r w:rsidR="003940F3" w:rsidRPr="00033F77">
        <w:rPr>
          <w:color w:val="000000" w:themeColor="text1"/>
        </w:rPr>
        <w:t xml:space="preserve">is </w:t>
      </w:r>
      <w:r w:rsidR="00126F0D" w:rsidRPr="00033F77">
        <w:rPr>
          <w:color w:val="000000" w:themeColor="text1"/>
        </w:rPr>
        <w:t xml:space="preserve">due </w:t>
      </w:r>
      <w:r w:rsidR="009B76C1" w:rsidRPr="00033F77">
        <w:rPr>
          <w:color w:val="000000" w:themeColor="text1"/>
        </w:rPr>
        <w:t xml:space="preserve">to </w:t>
      </w:r>
      <w:r w:rsidR="00C0174C" w:rsidRPr="00033F77">
        <w:rPr>
          <w:color w:val="000000" w:themeColor="text1"/>
        </w:rPr>
        <w:t xml:space="preserve">some development schemes slipping into the next financial year and </w:t>
      </w:r>
      <w:r w:rsidR="009B76C1" w:rsidRPr="00033F77">
        <w:rPr>
          <w:color w:val="000000" w:themeColor="text1"/>
        </w:rPr>
        <w:t xml:space="preserve">the use of a </w:t>
      </w:r>
      <w:r w:rsidR="00126F0D" w:rsidRPr="00033F77">
        <w:rPr>
          <w:color w:val="000000" w:themeColor="text1"/>
        </w:rPr>
        <w:t xml:space="preserve">higher inflation rate </w:t>
      </w:r>
      <w:r w:rsidR="009B76C1" w:rsidRPr="00033F77">
        <w:rPr>
          <w:color w:val="000000" w:themeColor="text1"/>
        </w:rPr>
        <w:t>when setting the budget fo</w:t>
      </w:r>
      <w:r w:rsidR="000E2B71" w:rsidRPr="00033F77">
        <w:rPr>
          <w:color w:val="000000" w:themeColor="text1"/>
        </w:rPr>
        <w:t>r</w:t>
      </w:r>
      <w:r w:rsidR="009B76C1" w:rsidRPr="00033F77">
        <w:rPr>
          <w:color w:val="000000" w:themeColor="text1"/>
        </w:rPr>
        <w:t xml:space="preserve"> the rent increase</w:t>
      </w:r>
      <w:r w:rsidR="00126F0D" w:rsidRPr="00033F77">
        <w:rPr>
          <w:color w:val="000000" w:themeColor="text1"/>
          <w:sz w:val="22"/>
        </w:rPr>
        <w:t>;</w:t>
      </w:r>
    </w:p>
    <w:p w:rsidR="00E65C13" w:rsidRPr="00033F77" w:rsidRDefault="00820D78" w:rsidP="004722D2">
      <w:pPr>
        <w:pStyle w:val="ListParagraph"/>
        <w:numPr>
          <w:ilvl w:val="1"/>
          <w:numId w:val="35"/>
        </w:numPr>
        <w:contextualSpacing/>
        <w:rPr>
          <w:b/>
          <w:color w:val="000000" w:themeColor="text1"/>
          <w:sz w:val="22"/>
        </w:rPr>
      </w:pPr>
      <w:r w:rsidRPr="00033F77">
        <w:rPr>
          <w:color w:val="000000" w:themeColor="text1"/>
        </w:rPr>
        <w:t>Management &amp; Services</w:t>
      </w:r>
      <w:r w:rsidR="00E65C13" w:rsidRPr="00033F77">
        <w:rPr>
          <w:color w:val="000000" w:themeColor="text1"/>
        </w:rPr>
        <w:t xml:space="preserve"> - </w:t>
      </w:r>
      <w:r w:rsidR="00126F0D" w:rsidRPr="00033F77">
        <w:rPr>
          <w:color w:val="000000" w:themeColor="text1"/>
        </w:rPr>
        <w:t>£0.243 million increase in expenditure while Other Revenue Spend has reduced expenditure of £0.304 million, this is mainly a realignment of budgets across the two expenditure lines;</w:t>
      </w:r>
    </w:p>
    <w:p w:rsidR="006505B7" w:rsidRPr="00C1470A" w:rsidRDefault="00126F0D" w:rsidP="00D122CB">
      <w:pPr>
        <w:pStyle w:val="ListParagraph"/>
        <w:numPr>
          <w:ilvl w:val="1"/>
          <w:numId w:val="35"/>
        </w:numPr>
        <w:contextualSpacing/>
        <w:rPr>
          <w:b/>
          <w:color w:val="000000" w:themeColor="text1"/>
          <w:sz w:val="22"/>
        </w:rPr>
      </w:pPr>
      <w:r w:rsidRPr="00033F77">
        <w:rPr>
          <w:color w:val="000000" w:themeColor="text1"/>
        </w:rPr>
        <w:t xml:space="preserve">Interest Paid - £1.254 million reduced expenditure to reflect the lower level of loans taken out during 2020/21 due to reduced </w:t>
      </w:r>
      <w:r w:rsidR="00D97707">
        <w:rPr>
          <w:color w:val="000000" w:themeColor="text1"/>
        </w:rPr>
        <w:t xml:space="preserve">housing development </w:t>
      </w:r>
      <w:r w:rsidRPr="00033F77">
        <w:rPr>
          <w:color w:val="000000" w:themeColor="text1"/>
        </w:rPr>
        <w:t xml:space="preserve">activity </w:t>
      </w:r>
      <w:r w:rsidR="00D97707">
        <w:rPr>
          <w:color w:val="000000" w:themeColor="text1"/>
        </w:rPr>
        <w:t xml:space="preserve">by OCHL </w:t>
      </w:r>
      <w:r w:rsidRPr="00033F77">
        <w:rPr>
          <w:color w:val="000000" w:themeColor="text1"/>
        </w:rPr>
        <w:t>during the height of the COVID 19 pandemic.</w:t>
      </w:r>
    </w:p>
    <w:p w:rsidR="00D122CB" w:rsidRPr="009B30CC" w:rsidRDefault="00D122CB" w:rsidP="00D122CB">
      <w:pPr>
        <w:rPr>
          <w:b/>
          <w:color w:val="auto"/>
        </w:rPr>
      </w:pPr>
      <w:r w:rsidRPr="009B30CC">
        <w:rPr>
          <w:b/>
          <w:color w:val="auto"/>
        </w:rPr>
        <w:t>Capital</w:t>
      </w:r>
    </w:p>
    <w:p w:rsidR="00736955" w:rsidRPr="009B30CC" w:rsidRDefault="00D92900" w:rsidP="00D92900">
      <w:pPr>
        <w:pStyle w:val="ListParagraph"/>
        <w:rPr>
          <w:color w:val="auto"/>
        </w:rPr>
      </w:pPr>
      <w:r w:rsidRPr="009B30CC">
        <w:rPr>
          <w:color w:val="auto"/>
        </w:rPr>
        <w:t xml:space="preserve">The budget, as approved </w:t>
      </w:r>
      <w:r w:rsidR="002B047B" w:rsidRPr="009B30CC">
        <w:rPr>
          <w:color w:val="auto"/>
        </w:rPr>
        <w:t>by the</w:t>
      </w:r>
      <w:r w:rsidRPr="009B30CC">
        <w:rPr>
          <w:color w:val="auto"/>
        </w:rPr>
        <w:t xml:space="preserve"> Council</w:t>
      </w:r>
      <w:r w:rsidR="002B047B" w:rsidRPr="009B30CC">
        <w:rPr>
          <w:color w:val="auto"/>
        </w:rPr>
        <w:t xml:space="preserve"> at its meeting</w:t>
      </w:r>
      <w:r w:rsidRPr="009B30CC">
        <w:rPr>
          <w:color w:val="auto"/>
        </w:rPr>
        <w:t xml:space="preserve"> in February 20</w:t>
      </w:r>
      <w:r w:rsidR="006124CA" w:rsidRPr="009B30CC">
        <w:rPr>
          <w:color w:val="auto"/>
        </w:rPr>
        <w:t>21</w:t>
      </w:r>
      <w:r w:rsidRPr="009B30CC">
        <w:rPr>
          <w:color w:val="auto"/>
        </w:rPr>
        <w:t>, was set at £</w:t>
      </w:r>
      <w:r w:rsidR="009B30CC" w:rsidRPr="009B30CC">
        <w:rPr>
          <w:color w:val="auto"/>
        </w:rPr>
        <w:t xml:space="preserve">186 </w:t>
      </w:r>
      <w:r w:rsidRPr="009B30CC">
        <w:rPr>
          <w:color w:val="auto"/>
        </w:rPr>
        <w:t>million.</w:t>
      </w:r>
      <w:r w:rsidR="009A34AD" w:rsidRPr="009B30CC">
        <w:rPr>
          <w:color w:val="auto"/>
        </w:rPr>
        <w:t xml:space="preserve"> </w:t>
      </w:r>
      <w:r w:rsidR="00A11896" w:rsidRPr="009B30CC">
        <w:rPr>
          <w:color w:val="auto"/>
        </w:rPr>
        <w:t xml:space="preserve">Since that date the budget has been increased by </w:t>
      </w:r>
      <w:r w:rsidR="00476CDE" w:rsidRPr="009B30CC">
        <w:rPr>
          <w:color w:val="auto"/>
        </w:rPr>
        <w:t>£</w:t>
      </w:r>
      <w:r w:rsidR="006124CA" w:rsidRPr="009B30CC">
        <w:rPr>
          <w:color w:val="auto"/>
        </w:rPr>
        <w:t>10.261</w:t>
      </w:r>
      <w:r w:rsidR="00476CDE" w:rsidRPr="009B30CC">
        <w:rPr>
          <w:color w:val="auto"/>
        </w:rPr>
        <w:t xml:space="preserve"> million</w:t>
      </w:r>
      <w:r w:rsidR="00834AED" w:rsidRPr="009B30CC">
        <w:rPr>
          <w:color w:val="auto"/>
        </w:rPr>
        <w:t xml:space="preserve"> </w:t>
      </w:r>
      <w:r w:rsidR="00A11896" w:rsidRPr="009B30CC">
        <w:rPr>
          <w:color w:val="auto"/>
        </w:rPr>
        <w:t xml:space="preserve">to take account of unspent balances rolled forward from </w:t>
      </w:r>
      <w:r w:rsidR="006124CA" w:rsidRPr="009B30CC">
        <w:rPr>
          <w:color w:val="auto"/>
        </w:rPr>
        <w:t>2020-21</w:t>
      </w:r>
      <w:r w:rsidR="00491307" w:rsidRPr="009B30CC">
        <w:rPr>
          <w:color w:val="auto"/>
        </w:rPr>
        <w:t>, giving a budget of £</w:t>
      </w:r>
      <w:r w:rsidR="006124CA" w:rsidRPr="009B30CC">
        <w:rPr>
          <w:color w:val="auto"/>
        </w:rPr>
        <w:t>196.572</w:t>
      </w:r>
      <w:r w:rsidR="00476CDE" w:rsidRPr="009B30CC">
        <w:rPr>
          <w:color w:val="auto"/>
        </w:rPr>
        <w:t xml:space="preserve"> millio</w:t>
      </w:r>
      <w:r w:rsidR="00E41699" w:rsidRPr="009B30CC">
        <w:rPr>
          <w:color w:val="auto"/>
        </w:rPr>
        <w:t>n</w:t>
      </w:r>
      <w:r w:rsidR="00491307" w:rsidRPr="009B30CC">
        <w:rPr>
          <w:color w:val="auto"/>
        </w:rPr>
        <w:t>.</w:t>
      </w:r>
      <w:r w:rsidR="00476CDE" w:rsidRPr="009B30CC">
        <w:rPr>
          <w:color w:val="auto"/>
        </w:rPr>
        <w:t xml:space="preserve"> </w:t>
      </w:r>
      <w:r w:rsidR="00491307" w:rsidRPr="009B30CC">
        <w:rPr>
          <w:color w:val="auto"/>
        </w:rPr>
        <w:t>F</w:t>
      </w:r>
      <w:r w:rsidR="00834AED" w:rsidRPr="009B30CC">
        <w:rPr>
          <w:color w:val="auto"/>
        </w:rPr>
        <w:t xml:space="preserve">urther </w:t>
      </w:r>
      <w:r w:rsidR="00A11896" w:rsidRPr="009B30CC">
        <w:rPr>
          <w:color w:val="auto"/>
        </w:rPr>
        <w:t>adjust</w:t>
      </w:r>
      <w:r w:rsidR="00834AED" w:rsidRPr="009B30CC">
        <w:rPr>
          <w:color w:val="auto"/>
        </w:rPr>
        <w:t xml:space="preserve">ments </w:t>
      </w:r>
      <w:r w:rsidR="00C80AFB" w:rsidRPr="009B30CC">
        <w:rPr>
          <w:color w:val="auto"/>
        </w:rPr>
        <w:t xml:space="preserve">since then </w:t>
      </w:r>
      <w:r w:rsidR="00491307" w:rsidRPr="009B30CC">
        <w:rPr>
          <w:color w:val="auto"/>
        </w:rPr>
        <w:t xml:space="preserve">have been made which </w:t>
      </w:r>
      <w:r w:rsidR="009B30CC" w:rsidRPr="009B30CC">
        <w:rPr>
          <w:color w:val="auto"/>
        </w:rPr>
        <w:t>decrease</w:t>
      </w:r>
      <w:r w:rsidR="00834AED" w:rsidRPr="009B30CC">
        <w:rPr>
          <w:color w:val="auto"/>
        </w:rPr>
        <w:t xml:space="preserve"> the</w:t>
      </w:r>
      <w:r w:rsidR="0044415D" w:rsidRPr="009B30CC">
        <w:rPr>
          <w:color w:val="auto"/>
        </w:rPr>
        <w:t xml:space="preserve"> budget by £</w:t>
      </w:r>
      <w:r w:rsidR="009B30CC" w:rsidRPr="009B30CC">
        <w:rPr>
          <w:color w:val="auto"/>
        </w:rPr>
        <w:t>20.857</w:t>
      </w:r>
      <w:r w:rsidR="0044415D" w:rsidRPr="009B30CC">
        <w:rPr>
          <w:color w:val="auto"/>
        </w:rPr>
        <w:t xml:space="preserve"> million</w:t>
      </w:r>
      <w:r w:rsidR="00736955" w:rsidRPr="009B30CC">
        <w:rPr>
          <w:color w:val="auto"/>
        </w:rPr>
        <w:t xml:space="preserve"> </w:t>
      </w:r>
      <w:r w:rsidR="00B44E1B" w:rsidRPr="009B30CC">
        <w:rPr>
          <w:color w:val="auto"/>
        </w:rPr>
        <w:t>to</w:t>
      </w:r>
      <w:r w:rsidR="00630C9F" w:rsidRPr="009B30CC">
        <w:rPr>
          <w:color w:val="auto"/>
        </w:rPr>
        <w:t xml:space="preserve"> show the latest budget </w:t>
      </w:r>
      <w:r w:rsidR="008A4D6B" w:rsidRPr="009B30CC">
        <w:rPr>
          <w:color w:val="auto"/>
        </w:rPr>
        <w:t xml:space="preserve">as at </w:t>
      </w:r>
      <w:r w:rsidR="006505B7" w:rsidRPr="009B30CC">
        <w:rPr>
          <w:color w:val="auto"/>
        </w:rPr>
        <w:t>3</w:t>
      </w:r>
      <w:r w:rsidR="006505B7">
        <w:rPr>
          <w:color w:val="auto"/>
        </w:rPr>
        <w:t>0</w:t>
      </w:r>
      <w:r w:rsidR="006505B7" w:rsidRPr="007C5ED4">
        <w:rPr>
          <w:color w:val="auto"/>
          <w:vertAlign w:val="superscript"/>
        </w:rPr>
        <w:t>th</w:t>
      </w:r>
      <w:r w:rsidR="006505B7">
        <w:rPr>
          <w:color w:val="auto"/>
        </w:rPr>
        <w:t xml:space="preserve"> </w:t>
      </w:r>
      <w:r w:rsidR="006505B7" w:rsidRPr="009B30CC">
        <w:rPr>
          <w:color w:val="auto"/>
        </w:rPr>
        <w:t>September</w:t>
      </w:r>
      <w:r w:rsidR="008A4D6B" w:rsidRPr="009B30CC">
        <w:rPr>
          <w:color w:val="auto"/>
        </w:rPr>
        <w:t xml:space="preserve"> </w:t>
      </w:r>
      <w:r w:rsidR="00630C9F" w:rsidRPr="009B30CC">
        <w:rPr>
          <w:color w:val="auto"/>
        </w:rPr>
        <w:t>to be</w:t>
      </w:r>
      <w:r w:rsidR="00B44E1B" w:rsidRPr="009B30CC">
        <w:rPr>
          <w:color w:val="auto"/>
        </w:rPr>
        <w:t xml:space="preserve"> £</w:t>
      </w:r>
      <w:r w:rsidR="009B30CC" w:rsidRPr="009B30CC">
        <w:rPr>
          <w:color w:val="auto"/>
        </w:rPr>
        <w:t>174.337 million.</w:t>
      </w:r>
    </w:p>
    <w:p w:rsidR="00325E71" w:rsidRPr="003629C0" w:rsidRDefault="00C80AFB" w:rsidP="00E07432">
      <w:pPr>
        <w:pStyle w:val="ListParagraph"/>
      </w:pPr>
      <w:r w:rsidRPr="00FA1691">
        <w:rPr>
          <w:color w:val="auto"/>
        </w:rPr>
        <w:t xml:space="preserve">Further net slippage of </w:t>
      </w:r>
      <w:r w:rsidR="00D2163E" w:rsidRPr="003629C0">
        <w:rPr>
          <w:color w:val="auto"/>
        </w:rPr>
        <w:t>£</w:t>
      </w:r>
      <w:r w:rsidR="00FE6CC5">
        <w:rPr>
          <w:color w:val="auto"/>
        </w:rPr>
        <w:t>28.019</w:t>
      </w:r>
      <w:r w:rsidRPr="003629C0">
        <w:rPr>
          <w:color w:val="auto"/>
        </w:rPr>
        <w:t xml:space="preserve"> million </w:t>
      </w:r>
      <w:r w:rsidR="003629C0">
        <w:rPr>
          <w:color w:val="auto"/>
        </w:rPr>
        <w:t>together with over</w:t>
      </w:r>
      <w:r w:rsidR="00D2163E" w:rsidRPr="003629C0">
        <w:rPr>
          <w:color w:val="auto"/>
        </w:rPr>
        <w:t xml:space="preserve">spends of </w:t>
      </w:r>
      <w:r w:rsidR="009B30CC" w:rsidRPr="003629C0">
        <w:rPr>
          <w:color w:val="auto"/>
        </w:rPr>
        <w:t>£0.037</w:t>
      </w:r>
      <w:r w:rsidR="00D2163E" w:rsidRPr="003629C0">
        <w:rPr>
          <w:color w:val="auto"/>
        </w:rPr>
        <w:t xml:space="preserve"> million results in a forecast outturn of £1</w:t>
      </w:r>
      <w:r w:rsidR="003629C0">
        <w:rPr>
          <w:color w:val="auto"/>
        </w:rPr>
        <w:t>4</w:t>
      </w:r>
      <w:r w:rsidR="00FE6CC5">
        <w:rPr>
          <w:color w:val="auto"/>
        </w:rPr>
        <w:t>6</w:t>
      </w:r>
      <w:r w:rsidR="003629C0">
        <w:rPr>
          <w:color w:val="auto"/>
        </w:rPr>
        <w:t>.</w:t>
      </w:r>
      <w:r w:rsidR="00FE6CC5">
        <w:rPr>
          <w:color w:val="auto"/>
        </w:rPr>
        <w:t>318</w:t>
      </w:r>
      <w:r w:rsidR="00D2163E" w:rsidRPr="003629C0">
        <w:rPr>
          <w:color w:val="auto"/>
        </w:rPr>
        <w:t xml:space="preserve"> million</w:t>
      </w:r>
      <w:r w:rsidR="00630C9F" w:rsidRPr="003629C0">
        <w:rPr>
          <w:color w:val="auto"/>
        </w:rPr>
        <w:t>.</w:t>
      </w:r>
      <w:r w:rsidR="00325E71" w:rsidRPr="003629C0">
        <w:rPr>
          <w:color w:val="auto"/>
        </w:rPr>
        <w:t xml:space="preserve"> </w:t>
      </w:r>
      <w:r w:rsidR="00325E71" w:rsidRPr="003629C0">
        <w:t>The main items</w:t>
      </w:r>
      <w:r w:rsidR="00F44267" w:rsidRPr="003629C0">
        <w:t xml:space="preserve"> of slippage,</w:t>
      </w:r>
      <w:r w:rsidR="00325E71" w:rsidRPr="003629C0">
        <w:t xml:space="preserve"> </w:t>
      </w:r>
      <w:r w:rsidR="006C6AFD" w:rsidRPr="003629C0">
        <w:t>which are being re</w:t>
      </w:r>
      <w:r w:rsidR="003C0757" w:rsidRPr="003629C0">
        <w:t>-</w:t>
      </w:r>
      <w:r w:rsidR="006C6AFD" w:rsidRPr="003629C0">
        <w:t xml:space="preserve">timetabled </w:t>
      </w:r>
      <w:r w:rsidR="00452FEE" w:rsidRPr="003629C0">
        <w:t>are:</w:t>
      </w:r>
    </w:p>
    <w:p w:rsidR="00452FEE" w:rsidRPr="00FA1691" w:rsidRDefault="00452FEE" w:rsidP="00452FEE">
      <w:pPr>
        <w:ind w:left="426"/>
        <w:rPr>
          <w:b/>
          <w:color w:val="auto"/>
        </w:rPr>
      </w:pPr>
      <w:bookmarkStart w:id="0" w:name="_GoBack"/>
      <w:bookmarkEnd w:id="0"/>
      <w:r w:rsidRPr="003629C0">
        <w:rPr>
          <w:b/>
          <w:color w:val="auto"/>
        </w:rPr>
        <w:t>General Fund</w:t>
      </w:r>
    </w:p>
    <w:p w:rsidR="00452FEE" w:rsidRDefault="00D2163E" w:rsidP="00A957C1">
      <w:pPr>
        <w:pStyle w:val="ListParagraph"/>
        <w:numPr>
          <w:ilvl w:val="0"/>
          <w:numId w:val="38"/>
        </w:numPr>
        <w:rPr>
          <w:color w:val="auto"/>
        </w:rPr>
      </w:pPr>
      <w:r w:rsidRPr="00FA1691">
        <w:rPr>
          <w:color w:val="auto"/>
        </w:rPr>
        <w:t xml:space="preserve">East Oxford Community Centre </w:t>
      </w:r>
      <w:r w:rsidR="0029661E" w:rsidRPr="00FA1691">
        <w:rPr>
          <w:color w:val="auto"/>
        </w:rPr>
        <w:t>- £1.250</w:t>
      </w:r>
      <w:r w:rsidR="002F7A6F" w:rsidRPr="00FA1691">
        <w:rPr>
          <w:color w:val="auto"/>
        </w:rPr>
        <w:t xml:space="preserve"> million slippage</w:t>
      </w:r>
      <w:r w:rsidR="00031867" w:rsidRPr="00FA1691">
        <w:rPr>
          <w:color w:val="auto"/>
        </w:rPr>
        <w:t xml:space="preserve"> to the scheme due to delays decanting current tenant which will complete at the end of March 2022 and the project being forecast to complete by June 2023;</w:t>
      </w:r>
    </w:p>
    <w:p w:rsidR="003629C0" w:rsidRPr="00FA1691" w:rsidRDefault="003629C0" w:rsidP="00A957C1">
      <w:pPr>
        <w:pStyle w:val="ListParagraph"/>
        <w:numPr>
          <w:ilvl w:val="0"/>
          <w:numId w:val="38"/>
        </w:numPr>
        <w:rPr>
          <w:color w:val="auto"/>
        </w:rPr>
      </w:pPr>
      <w:r>
        <w:rPr>
          <w:color w:val="auto"/>
        </w:rPr>
        <w:lastRenderedPageBreak/>
        <w:t>Jericho Community Centre - £</w:t>
      </w:r>
      <w:r w:rsidR="00EB1130">
        <w:rPr>
          <w:color w:val="auto"/>
        </w:rPr>
        <w:t>0.195 million slippage into future years;</w:t>
      </w:r>
    </w:p>
    <w:p w:rsidR="002F7A6F" w:rsidRPr="00FA1691" w:rsidRDefault="002F7A6F" w:rsidP="00A957C1">
      <w:pPr>
        <w:pStyle w:val="ListParagraph"/>
        <w:numPr>
          <w:ilvl w:val="0"/>
          <w:numId w:val="38"/>
        </w:numPr>
        <w:rPr>
          <w:color w:val="auto"/>
        </w:rPr>
      </w:pPr>
      <w:proofErr w:type="spellStart"/>
      <w:r w:rsidRPr="00FA1691">
        <w:rPr>
          <w:color w:val="auto"/>
        </w:rPr>
        <w:t>Bullingdon</w:t>
      </w:r>
      <w:proofErr w:type="spellEnd"/>
      <w:r w:rsidRPr="00FA1691">
        <w:rPr>
          <w:color w:val="auto"/>
        </w:rPr>
        <w:t xml:space="preserve"> Community Centre</w:t>
      </w:r>
      <w:r w:rsidR="0029661E" w:rsidRPr="00FA1691">
        <w:rPr>
          <w:color w:val="auto"/>
        </w:rPr>
        <w:t xml:space="preserve"> - £0.4</w:t>
      </w:r>
      <w:r w:rsidRPr="00FA1691">
        <w:rPr>
          <w:color w:val="auto"/>
        </w:rPr>
        <w:t>33 million slippage</w:t>
      </w:r>
      <w:r w:rsidR="00031867" w:rsidRPr="00FA1691">
        <w:rPr>
          <w:color w:val="auto"/>
        </w:rPr>
        <w:t xml:space="preserve"> due to delays carrying out surveys</w:t>
      </w:r>
      <w:r w:rsidR="003759BC">
        <w:rPr>
          <w:color w:val="auto"/>
        </w:rPr>
        <w:t>, engaging with an offsite fabrication manufacturer</w:t>
      </w:r>
      <w:r w:rsidR="00031867" w:rsidRPr="00FA1691">
        <w:rPr>
          <w:color w:val="auto"/>
        </w:rPr>
        <w:t xml:space="preserve"> and time taken to obtain budget surety.  Demolition is 95% complete and groundworks expected to start in January 2022;</w:t>
      </w:r>
    </w:p>
    <w:p w:rsidR="002F7A6F" w:rsidRDefault="002F7A6F" w:rsidP="00A957C1">
      <w:pPr>
        <w:pStyle w:val="ListParagraph"/>
        <w:numPr>
          <w:ilvl w:val="0"/>
          <w:numId w:val="38"/>
        </w:numPr>
        <w:rPr>
          <w:color w:val="auto"/>
        </w:rPr>
      </w:pPr>
      <w:r w:rsidRPr="00FA1691">
        <w:rPr>
          <w:color w:val="auto"/>
        </w:rPr>
        <w:t>Bla</w:t>
      </w:r>
      <w:r w:rsidR="00EB1130">
        <w:rPr>
          <w:color w:val="auto"/>
        </w:rPr>
        <w:t>ckbird Leys Regeneration - £0.1</w:t>
      </w:r>
      <w:r w:rsidRPr="00FA1691">
        <w:rPr>
          <w:color w:val="auto"/>
        </w:rPr>
        <w:t>0</w:t>
      </w:r>
      <w:r w:rsidR="00EB1130">
        <w:rPr>
          <w:color w:val="auto"/>
        </w:rPr>
        <w:t>8</w:t>
      </w:r>
      <w:r w:rsidRPr="00FA1691">
        <w:rPr>
          <w:color w:val="auto"/>
        </w:rPr>
        <w:t xml:space="preserve"> million brought forward</w:t>
      </w:r>
      <w:r w:rsidR="00031867" w:rsidRPr="00FA1691">
        <w:rPr>
          <w:color w:val="auto"/>
        </w:rPr>
        <w:t xml:space="preserve"> to fund the expected spend in year;</w:t>
      </w:r>
    </w:p>
    <w:p w:rsidR="00EB1130" w:rsidRPr="00FA1691" w:rsidRDefault="00EB1130" w:rsidP="00A957C1">
      <w:pPr>
        <w:pStyle w:val="ListParagraph"/>
        <w:numPr>
          <w:ilvl w:val="0"/>
          <w:numId w:val="38"/>
        </w:numPr>
        <w:rPr>
          <w:color w:val="auto"/>
        </w:rPr>
      </w:pPr>
      <w:r>
        <w:rPr>
          <w:color w:val="auto"/>
        </w:rPr>
        <w:t>Affordable Housing Supply - £3.000 million slippage in line with changes to the Oxfordshire Growth Deal programme;</w:t>
      </w:r>
    </w:p>
    <w:p w:rsidR="002F7A6F" w:rsidRPr="00FA1691" w:rsidRDefault="002F7A6F" w:rsidP="00A957C1">
      <w:pPr>
        <w:pStyle w:val="ListParagraph"/>
        <w:numPr>
          <w:ilvl w:val="0"/>
          <w:numId w:val="38"/>
        </w:numPr>
        <w:rPr>
          <w:color w:val="auto"/>
        </w:rPr>
      </w:pPr>
      <w:r w:rsidRPr="00FA1691">
        <w:rPr>
          <w:color w:val="auto"/>
        </w:rPr>
        <w:t>Car Parking Oxpens - £0.225 million slippage</w:t>
      </w:r>
      <w:r w:rsidR="00031867" w:rsidRPr="00FA1691">
        <w:rPr>
          <w:color w:val="auto"/>
        </w:rPr>
        <w:t>, the removal of the decking is expected to take place in early 2022/23;</w:t>
      </w:r>
    </w:p>
    <w:p w:rsidR="002F7A6F" w:rsidRDefault="00EB1130" w:rsidP="00A957C1">
      <w:pPr>
        <w:pStyle w:val="ListParagraph"/>
        <w:numPr>
          <w:ilvl w:val="0"/>
          <w:numId w:val="38"/>
        </w:numPr>
        <w:rPr>
          <w:color w:val="auto"/>
        </w:rPr>
      </w:pPr>
      <w:r>
        <w:rPr>
          <w:color w:val="auto"/>
        </w:rPr>
        <w:t>Cave Street Development - £0.517</w:t>
      </w:r>
      <w:r w:rsidR="002F7A6F" w:rsidRPr="00FA1691">
        <w:rPr>
          <w:color w:val="auto"/>
        </w:rPr>
        <w:t xml:space="preserve"> slippage</w:t>
      </w:r>
      <w:r w:rsidR="00031867" w:rsidRPr="00FA1691">
        <w:rPr>
          <w:color w:val="auto"/>
        </w:rPr>
        <w:t xml:space="preserve"> due to the increase scale and complexity of the development proposals requiring additional time for review of the business case and delivery options;</w:t>
      </w:r>
    </w:p>
    <w:p w:rsidR="00EB1130" w:rsidRDefault="00EB1130" w:rsidP="00A957C1">
      <w:pPr>
        <w:pStyle w:val="ListParagraph"/>
        <w:numPr>
          <w:ilvl w:val="0"/>
          <w:numId w:val="38"/>
        </w:numPr>
        <w:rPr>
          <w:color w:val="auto"/>
        </w:rPr>
      </w:pPr>
      <w:r>
        <w:rPr>
          <w:color w:val="auto"/>
        </w:rPr>
        <w:t>1-3 George Street - £1.227 million slippage due to ground conditions work delaying the construction programme;</w:t>
      </w:r>
    </w:p>
    <w:p w:rsidR="00EB1130" w:rsidRPr="00FA1691" w:rsidRDefault="00EB1130" w:rsidP="00A957C1">
      <w:pPr>
        <w:pStyle w:val="ListParagraph"/>
        <w:numPr>
          <w:ilvl w:val="0"/>
          <w:numId w:val="38"/>
        </w:numPr>
        <w:rPr>
          <w:color w:val="auto"/>
        </w:rPr>
      </w:pPr>
      <w:r>
        <w:rPr>
          <w:color w:val="auto"/>
        </w:rPr>
        <w:t>Capital works at Covered Market - £0.839 million slippage into future years;</w:t>
      </w:r>
    </w:p>
    <w:p w:rsidR="002F7A6F" w:rsidRPr="00FA1691" w:rsidRDefault="002F7A6F" w:rsidP="00A957C1">
      <w:pPr>
        <w:pStyle w:val="ListParagraph"/>
        <w:numPr>
          <w:ilvl w:val="0"/>
          <w:numId w:val="38"/>
        </w:numPr>
        <w:rPr>
          <w:color w:val="auto"/>
        </w:rPr>
      </w:pPr>
      <w:r w:rsidRPr="00FA1691">
        <w:rPr>
          <w:color w:val="auto"/>
        </w:rPr>
        <w:t>Regeneration Property - £7.0 million slippage</w:t>
      </w:r>
      <w:r w:rsidR="00D05E98" w:rsidRPr="00FA1691">
        <w:rPr>
          <w:color w:val="auto"/>
        </w:rPr>
        <w:t xml:space="preserve"> due to no further opportunities currently available to purchase properties;</w:t>
      </w:r>
    </w:p>
    <w:p w:rsidR="002F7A6F" w:rsidRPr="00FA1691" w:rsidRDefault="002F7A6F" w:rsidP="00A957C1">
      <w:pPr>
        <w:pStyle w:val="ListParagraph"/>
        <w:numPr>
          <w:ilvl w:val="0"/>
          <w:numId w:val="38"/>
        </w:numPr>
        <w:rPr>
          <w:color w:val="auto"/>
        </w:rPr>
      </w:pPr>
      <w:r w:rsidRPr="00FA1691">
        <w:rPr>
          <w:color w:val="auto"/>
        </w:rPr>
        <w:t>City Cycle Schemes - £0.450 million slippage</w:t>
      </w:r>
      <w:r w:rsidR="00D05E98" w:rsidRPr="00FA1691">
        <w:rPr>
          <w:color w:val="auto"/>
        </w:rPr>
        <w:t xml:space="preserve"> into future years;</w:t>
      </w:r>
    </w:p>
    <w:p w:rsidR="002F7A6F" w:rsidRPr="00FA1691" w:rsidRDefault="002F7A6F" w:rsidP="00A957C1">
      <w:pPr>
        <w:pStyle w:val="ListParagraph"/>
        <w:numPr>
          <w:ilvl w:val="0"/>
          <w:numId w:val="38"/>
        </w:numPr>
        <w:rPr>
          <w:color w:val="auto"/>
        </w:rPr>
      </w:pPr>
      <w:r w:rsidRPr="00FA1691">
        <w:rPr>
          <w:color w:val="auto"/>
        </w:rPr>
        <w:t>Feasibility schemes – further allocation made and £0.049 million brought forward from future years</w:t>
      </w:r>
      <w:r w:rsidR="00D05E98" w:rsidRPr="00FA1691">
        <w:rPr>
          <w:color w:val="auto"/>
        </w:rPr>
        <w:t>;</w:t>
      </w:r>
    </w:p>
    <w:p w:rsidR="002F7A6F" w:rsidRPr="00FA1691" w:rsidRDefault="002F7A6F" w:rsidP="00A957C1">
      <w:pPr>
        <w:pStyle w:val="ListParagraph"/>
        <w:numPr>
          <w:ilvl w:val="0"/>
          <w:numId w:val="38"/>
        </w:numPr>
        <w:rPr>
          <w:color w:val="auto"/>
        </w:rPr>
      </w:pPr>
      <w:r w:rsidRPr="00FA1691">
        <w:rPr>
          <w:color w:val="auto"/>
        </w:rPr>
        <w:t>Go Ultra Low Oxford – On street - £0.500 million slippage</w:t>
      </w:r>
      <w:r w:rsidR="00D05E98" w:rsidRPr="00FA1691">
        <w:rPr>
          <w:color w:val="auto"/>
        </w:rPr>
        <w:t xml:space="preserve"> on the scheme as it is dependent on external factors;</w:t>
      </w:r>
    </w:p>
    <w:p w:rsidR="00452FEE" w:rsidRPr="00FA1691" w:rsidRDefault="007A3813" w:rsidP="00452FEE">
      <w:pPr>
        <w:pStyle w:val="ListParagraph"/>
        <w:numPr>
          <w:ilvl w:val="0"/>
          <w:numId w:val="38"/>
        </w:numPr>
        <w:rPr>
          <w:color w:val="auto"/>
        </w:rPr>
      </w:pPr>
      <w:r w:rsidRPr="00FA1691">
        <w:rPr>
          <w:color w:val="auto"/>
        </w:rPr>
        <w:t>M</w:t>
      </w:r>
      <w:r w:rsidR="008A4D6B" w:rsidRPr="00FA1691">
        <w:rPr>
          <w:color w:val="auto"/>
        </w:rPr>
        <w:t xml:space="preserve">otor </w:t>
      </w:r>
      <w:r w:rsidRPr="00FA1691">
        <w:rPr>
          <w:color w:val="auto"/>
        </w:rPr>
        <w:t>T</w:t>
      </w:r>
      <w:r w:rsidR="008A4D6B" w:rsidRPr="00FA1691">
        <w:rPr>
          <w:color w:val="auto"/>
        </w:rPr>
        <w:t>ransport</w:t>
      </w:r>
      <w:r w:rsidR="00D2163E" w:rsidRPr="00FA1691">
        <w:rPr>
          <w:color w:val="auto"/>
        </w:rPr>
        <w:t xml:space="preserve"> Vehicle Replacement programme - £0.</w:t>
      </w:r>
      <w:r w:rsidR="002F7A6F" w:rsidRPr="00FA1691">
        <w:rPr>
          <w:color w:val="auto"/>
        </w:rPr>
        <w:t>0</w:t>
      </w:r>
      <w:r w:rsidR="00D2163E" w:rsidRPr="00FA1691">
        <w:rPr>
          <w:color w:val="auto"/>
        </w:rPr>
        <w:t>7</w:t>
      </w:r>
      <w:r w:rsidR="002F7A6F" w:rsidRPr="00FA1691">
        <w:rPr>
          <w:color w:val="auto"/>
        </w:rPr>
        <w:t>8</w:t>
      </w:r>
      <w:r w:rsidR="00D2163E" w:rsidRPr="00FA1691">
        <w:rPr>
          <w:color w:val="auto"/>
        </w:rPr>
        <w:t xml:space="preserve"> million slippage as the programme of replacement is being reviewed, some vehicles may be delayed w</w:t>
      </w:r>
      <w:r w:rsidR="002F7A6F" w:rsidRPr="00FA1691">
        <w:rPr>
          <w:color w:val="auto"/>
        </w:rPr>
        <w:t>hile others are brought forward</w:t>
      </w:r>
      <w:r w:rsidR="00FA1691">
        <w:rPr>
          <w:color w:val="auto"/>
        </w:rPr>
        <w:t>;</w:t>
      </w:r>
    </w:p>
    <w:p w:rsidR="002F7A6F" w:rsidRDefault="002F7A6F" w:rsidP="002F7A6F">
      <w:pPr>
        <w:pStyle w:val="ListParagraph"/>
        <w:numPr>
          <w:ilvl w:val="0"/>
          <w:numId w:val="38"/>
        </w:numPr>
        <w:rPr>
          <w:color w:val="auto"/>
        </w:rPr>
      </w:pPr>
      <w:r w:rsidRPr="00FA1691">
        <w:rPr>
          <w:color w:val="auto"/>
        </w:rPr>
        <w:t>Transformation Funding - £0.130 million slippage</w:t>
      </w:r>
      <w:r w:rsidR="00FA1691">
        <w:rPr>
          <w:color w:val="auto"/>
        </w:rPr>
        <w:t>.</w:t>
      </w:r>
    </w:p>
    <w:p w:rsidR="00C80AFB" w:rsidRPr="00FA1691" w:rsidRDefault="00C80AFB" w:rsidP="00BA6A54">
      <w:pPr>
        <w:rPr>
          <w:color w:val="auto"/>
        </w:rPr>
      </w:pPr>
    </w:p>
    <w:p w:rsidR="00927B21" w:rsidRPr="00FA1691" w:rsidRDefault="00523412" w:rsidP="007A3813">
      <w:pPr>
        <w:ind w:left="786" w:hanging="360"/>
        <w:rPr>
          <w:b/>
          <w:color w:val="auto"/>
        </w:rPr>
      </w:pPr>
      <w:r w:rsidRPr="00FA1691">
        <w:rPr>
          <w:b/>
          <w:color w:val="auto"/>
        </w:rPr>
        <w:t>H</w:t>
      </w:r>
      <w:r w:rsidR="00927B21" w:rsidRPr="00FA1691">
        <w:rPr>
          <w:b/>
          <w:color w:val="auto"/>
        </w:rPr>
        <w:t xml:space="preserve">ousing </w:t>
      </w:r>
      <w:r w:rsidRPr="00FA1691">
        <w:rPr>
          <w:b/>
          <w:color w:val="auto"/>
        </w:rPr>
        <w:t>R</w:t>
      </w:r>
      <w:r w:rsidR="00927B21" w:rsidRPr="00FA1691">
        <w:rPr>
          <w:b/>
          <w:color w:val="auto"/>
        </w:rPr>
        <w:t xml:space="preserve">evenue </w:t>
      </w:r>
      <w:r w:rsidRPr="00FA1691">
        <w:rPr>
          <w:b/>
          <w:color w:val="auto"/>
        </w:rPr>
        <w:t>A</w:t>
      </w:r>
      <w:r w:rsidR="00927B21" w:rsidRPr="00FA1691">
        <w:rPr>
          <w:b/>
          <w:color w:val="auto"/>
        </w:rPr>
        <w:t>ccount</w:t>
      </w:r>
    </w:p>
    <w:p w:rsidR="00DF70FC" w:rsidRDefault="00DF70FC" w:rsidP="00AC3073">
      <w:pPr>
        <w:pStyle w:val="ListParagraph"/>
        <w:numPr>
          <w:ilvl w:val="0"/>
          <w:numId w:val="38"/>
        </w:numPr>
        <w:rPr>
          <w:color w:val="auto"/>
        </w:rPr>
      </w:pPr>
      <w:r w:rsidRPr="00FA1691">
        <w:rPr>
          <w:color w:val="auto"/>
        </w:rPr>
        <w:t>Energy Efficiency Initiatives - £0.750 million slippage</w:t>
      </w:r>
      <w:r w:rsidR="00FA1691" w:rsidRPr="00FA1691">
        <w:rPr>
          <w:color w:val="auto"/>
        </w:rPr>
        <w:t xml:space="preserve"> from the current year which has been added to the end of the program in 2025/26;</w:t>
      </w:r>
    </w:p>
    <w:p w:rsidR="00EB1130" w:rsidRDefault="00EB1130" w:rsidP="00AC3073">
      <w:pPr>
        <w:pStyle w:val="ListParagraph"/>
        <w:numPr>
          <w:ilvl w:val="0"/>
          <w:numId w:val="38"/>
        </w:numPr>
        <w:rPr>
          <w:color w:val="auto"/>
        </w:rPr>
      </w:pPr>
      <w:r>
        <w:rPr>
          <w:color w:val="auto"/>
        </w:rPr>
        <w:t>Properties purchased from OCHL</w:t>
      </w:r>
      <w:r w:rsidR="00B068CC">
        <w:rPr>
          <w:color w:val="auto"/>
        </w:rPr>
        <w:t xml:space="preserve"> - £10 million slippage as further delays in completion of sites to be purchased;</w:t>
      </w:r>
    </w:p>
    <w:p w:rsidR="00C0174C" w:rsidRPr="00FA1691" w:rsidRDefault="00CC3C84" w:rsidP="00AC3073">
      <w:pPr>
        <w:pStyle w:val="ListParagraph"/>
        <w:numPr>
          <w:ilvl w:val="0"/>
          <w:numId w:val="38"/>
        </w:numPr>
        <w:rPr>
          <w:color w:val="auto"/>
        </w:rPr>
      </w:pPr>
      <w:r w:rsidRPr="00FA1691">
        <w:rPr>
          <w:color w:val="auto"/>
        </w:rPr>
        <w:t xml:space="preserve">Unallocated Site </w:t>
      </w:r>
      <w:r w:rsidR="00DF70FC" w:rsidRPr="00FA1691">
        <w:rPr>
          <w:color w:val="auto"/>
        </w:rPr>
        <w:t>1</w:t>
      </w:r>
      <w:r w:rsidRPr="00FA1691">
        <w:rPr>
          <w:color w:val="auto"/>
        </w:rPr>
        <w:t xml:space="preserve"> – underspend of £</w:t>
      </w:r>
      <w:r w:rsidR="00DF70FC" w:rsidRPr="00FA1691">
        <w:rPr>
          <w:color w:val="auto"/>
        </w:rPr>
        <w:t>1.366</w:t>
      </w:r>
      <w:r w:rsidRPr="00FA1691">
        <w:rPr>
          <w:color w:val="auto"/>
        </w:rPr>
        <w:t xml:space="preserve"> million </w:t>
      </w:r>
      <w:r w:rsidR="00FA1691" w:rsidRPr="00FA1691">
        <w:rPr>
          <w:color w:val="auto"/>
        </w:rPr>
        <w:t>to remove the scheme from the programme so that the funding is available for other planned schemes.</w:t>
      </w:r>
    </w:p>
    <w:p w:rsidR="006505B7" w:rsidRDefault="006505B7" w:rsidP="00802422">
      <w:pPr>
        <w:pStyle w:val="ListParagraph"/>
        <w:rPr>
          <w:color w:val="auto"/>
        </w:rPr>
      </w:pPr>
      <w:r>
        <w:rPr>
          <w:color w:val="auto"/>
        </w:rPr>
        <w:t xml:space="preserve">During a continued review of the Capital Programme </w:t>
      </w:r>
      <w:r w:rsidR="00FD3E69">
        <w:rPr>
          <w:color w:val="auto"/>
        </w:rPr>
        <w:t>additional slippage is likely to occur during the remainder of the year, and officers are mon</w:t>
      </w:r>
      <w:r w:rsidR="001916A7">
        <w:rPr>
          <w:color w:val="auto"/>
        </w:rPr>
        <w:t xml:space="preserve">itoring this on a regular basis.  </w:t>
      </w:r>
    </w:p>
    <w:p w:rsidR="00F44267" w:rsidRDefault="00F44267" w:rsidP="00B068CC">
      <w:pPr>
        <w:ind w:left="426"/>
        <w:rPr>
          <w:color w:val="auto"/>
        </w:rPr>
      </w:pPr>
    </w:p>
    <w:p w:rsidR="00E07432" w:rsidRPr="00B068CC" w:rsidRDefault="00E07432" w:rsidP="00B068CC">
      <w:pPr>
        <w:ind w:left="426"/>
        <w:rPr>
          <w:b/>
          <w:color w:val="auto"/>
        </w:rPr>
      </w:pPr>
      <w:r w:rsidRPr="00B068CC">
        <w:rPr>
          <w:b/>
          <w:color w:val="auto"/>
        </w:rPr>
        <w:lastRenderedPageBreak/>
        <w:t>Overall capital programme outturn</w:t>
      </w:r>
    </w:p>
    <w:p w:rsidR="00E07432" w:rsidRPr="00F832FF" w:rsidRDefault="00E07432" w:rsidP="00E07432">
      <w:pPr>
        <w:pStyle w:val="ListParagraph"/>
      </w:pPr>
      <w:r>
        <w:rPr>
          <w:color w:val="auto"/>
        </w:rPr>
        <w:t xml:space="preserve">As noted above, the projected capital outturn is currently </w:t>
      </w:r>
      <w:r w:rsidR="00B068CC">
        <w:rPr>
          <w:color w:val="auto"/>
        </w:rPr>
        <w:t>£143.647 million.</w:t>
      </w:r>
      <w:r>
        <w:rPr>
          <w:color w:val="auto"/>
        </w:rPr>
        <w:t xml:space="preserve"> While this figure is higher than previous year’s capital spend, i</w:t>
      </w:r>
      <w:r w:rsidRPr="00B068CC">
        <w:rPr>
          <w:color w:val="auto"/>
        </w:rPr>
        <w:t xml:space="preserve">t is worth noting that </w:t>
      </w:r>
      <w:r>
        <w:rPr>
          <w:color w:val="auto"/>
        </w:rPr>
        <w:t xml:space="preserve">it </w:t>
      </w:r>
      <w:r w:rsidRPr="00B068CC">
        <w:rPr>
          <w:color w:val="auto"/>
        </w:rPr>
        <w:t>includes sizable budget allocations and forecasts that are inherently difficult to accurately forecast due to the nature of the projects. This includes:</w:t>
      </w:r>
    </w:p>
    <w:p w:rsidR="00E07432" w:rsidRDefault="00E07432" w:rsidP="00E07432">
      <w:pPr>
        <w:pStyle w:val="ListParagraph"/>
        <w:numPr>
          <w:ilvl w:val="0"/>
          <w:numId w:val="38"/>
        </w:numPr>
        <w:rPr>
          <w:color w:val="auto"/>
        </w:rPr>
      </w:pPr>
      <w:r>
        <w:rPr>
          <w:color w:val="auto"/>
        </w:rPr>
        <w:t xml:space="preserve">£20.9m of General Fund loans to OCHL, which rely on a range of schemes coming though detailed design and planning stages, where timescales are difficult to predict. </w:t>
      </w:r>
    </w:p>
    <w:p w:rsidR="00E07432" w:rsidRDefault="00E07432" w:rsidP="00E07432">
      <w:pPr>
        <w:pStyle w:val="ListParagraph"/>
        <w:numPr>
          <w:ilvl w:val="0"/>
          <w:numId w:val="38"/>
        </w:numPr>
        <w:rPr>
          <w:color w:val="auto"/>
        </w:rPr>
      </w:pPr>
      <w:r>
        <w:rPr>
          <w:color w:val="auto"/>
        </w:rPr>
        <w:t>£35m of HRA allocated to the acquisition of social rented homes from OCHL</w:t>
      </w:r>
    </w:p>
    <w:p w:rsidR="00E07432" w:rsidRDefault="00E07432" w:rsidP="00E07432">
      <w:pPr>
        <w:pStyle w:val="ListParagraph"/>
        <w:numPr>
          <w:ilvl w:val="0"/>
          <w:numId w:val="38"/>
        </w:numPr>
        <w:rPr>
          <w:color w:val="auto"/>
        </w:rPr>
      </w:pPr>
      <w:r>
        <w:rPr>
          <w:color w:val="auto"/>
        </w:rPr>
        <w:t>£13m of General Fund allocated to  regeneration, which relies on the identification of suitable regeneration opportunities and the market</w:t>
      </w:r>
    </w:p>
    <w:p w:rsidR="00E07432" w:rsidRPr="00B068CC" w:rsidRDefault="00E07432" w:rsidP="00B068CC">
      <w:pPr>
        <w:pStyle w:val="ListParagraph"/>
        <w:rPr>
          <w:color w:val="auto"/>
        </w:rPr>
      </w:pPr>
      <w:r>
        <w:rPr>
          <w:color w:val="auto"/>
        </w:rPr>
        <w:t>Furthermore, there are some large one-off capital projects, which have increased the overall programme. These include:</w:t>
      </w:r>
    </w:p>
    <w:p w:rsidR="00E07432" w:rsidRDefault="001A022B" w:rsidP="00E07432">
      <w:pPr>
        <w:pStyle w:val="ListParagraph"/>
        <w:numPr>
          <w:ilvl w:val="0"/>
          <w:numId w:val="38"/>
        </w:numPr>
        <w:rPr>
          <w:color w:val="auto"/>
        </w:rPr>
      </w:pPr>
      <w:r>
        <w:rPr>
          <w:color w:val="auto"/>
        </w:rPr>
        <w:t xml:space="preserve">£14m for the decarbonisation of key council assets via central Government “Salix” funding and </w:t>
      </w:r>
      <w:r w:rsidR="001368DF">
        <w:rPr>
          <w:color w:val="auto"/>
        </w:rPr>
        <w:t>associated enabling works</w:t>
      </w:r>
    </w:p>
    <w:p w:rsidR="00F44267" w:rsidRDefault="00F44267" w:rsidP="00B068CC">
      <w:pPr>
        <w:pStyle w:val="ListParagraph"/>
        <w:numPr>
          <w:ilvl w:val="0"/>
          <w:numId w:val="0"/>
        </w:numPr>
        <w:ind w:left="786"/>
        <w:rPr>
          <w:color w:val="auto"/>
        </w:rPr>
      </w:pPr>
    </w:p>
    <w:p w:rsidR="006505B7" w:rsidRPr="00BB2667" w:rsidRDefault="006505B7" w:rsidP="006505B7">
      <w:pPr>
        <w:pStyle w:val="Heading1"/>
        <w:rPr>
          <w:color w:val="auto"/>
        </w:rPr>
      </w:pPr>
      <w:r w:rsidRPr="00BB2667">
        <w:rPr>
          <w:color w:val="auto"/>
        </w:rPr>
        <w:t>Corporate Risk</w:t>
      </w:r>
    </w:p>
    <w:p w:rsidR="00FA10A6" w:rsidRPr="00BB2667" w:rsidRDefault="00FA10A6" w:rsidP="00802422">
      <w:pPr>
        <w:pStyle w:val="ListParagraph"/>
        <w:rPr>
          <w:color w:val="auto"/>
        </w:rPr>
      </w:pPr>
      <w:r w:rsidRPr="00BB2667">
        <w:rPr>
          <w:color w:val="auto"/>
        </w:rPr>
        <w:t xml:space="preserve">There </w:t>
      </w:r>
      <w:r w:rsidR="00952FBA" w:rsidRPr="00BB2667">
        <w:rPr>
          <w:color w:val="auto"/>
        </w:rPr>
        <w:t xml:space="preserve">are </w:t>
      </w:r>
      <w:r w:rsidR="0009596F" w:rsidRPr="00BB2667">
        <w:rPr>
          <w:color w:val="auto"/>
        </w:rPr>
        <w:t>three</w:t>
      </w:r>
      <w:r w:rsidR="00952FBA" w:rsidRPr="00BB2667">
        <w:rPr>
          <w:color w:val="auto"/>
        </w:rPr>
        <w:t xml:space="preserve"> red </w:t>
      </w:r>
      <w:r w:rsidR="00A11423" w:rsidRPr="00BB2667">
        <w:rPr>
          <w:color w:val="auto"/>
        </w:rPr>
        <w:t>risk</w:t>
      </w:r>
      <w:r w:rsidRPr="00BB2667">
        <w:rPr>
          <w:color w:val="auto"/>
        </w:rPr>
        <w:t>s</w:t>
      </w:r>
      <w:r w:rsidR="00D04C25" w:rsidRPr="00BB2667">
        <w:rPr>
          <w:color w:val="auto"/>
        </w:rPr>
        <w:t xml:space="preserve"> on the current Corporate Risk R</w:t>
      </w:r>
      <w:r w:rsidR="00A11423" w:rsidRPr="00BB2667">
        <w:rPr>
          <w:color w:val="auto"/>
        </w:rPr>
        <w:t xml:space="preserve">egister, which </w:t>
      </w:r>
      <w:r w:rsidR="00952FBA" w:rsidRPr="00BB2667">
        <w:rPr>
          <w:color w:val="auto"/>
        </w:rPr>
        <w:t>are</w:t>
      </w:r>
      <w:r w:rsidRPr="00BB2667">
        <w:rPr>
          <w:color w:val="auto"/>
        </w:rPr>
        <w:t xml:space="preserve"> as follows:</w:t>
      </w:r>
    </w:p>
    <w:p w:rsidR="0009596F" w:rsidRDefault="0009596F" w:rsidP="006D78FE">
      <w:pPr>
        <w:pStyle w:val="ListParagraph"/>
        <w:numPr>
          <w:ilvl w:val="0"/>
          <w:numId w:val="48"/>
        </w:numPr>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due to the Covid-19 pandemic which has paused any delivery in the housing supply.</w:t>
      </w:r>
    </w:p>
    <w:p w:rsidR="0009596F" w:rsidRPr="00F00DE8" w:rsidRDefault="0009596F" w:rsidP="0009596F">
      <w:pPr>
        <w:pStyle w:val="Bulletpoints"/>
        <w:numPr>
          <w:ilvl w:val="0"/>
          <w:numId w:val="0"/>
        </w:numPr>
        <w:ind w:left="720"/>
      </w:pPr>
    </w:p>
    <w:p w:rsidR="0009596F" w:rsidRDefault="0009596F" w:rsidP="006D78FE">
      <w:pPr>
        <w:pStyle w:val="ListParagraph"/>
        <w:numPr>
          <w:ilvl w:val="0"/>
          <w:numId w:val="48"/>
        </w:numPr>
      </w:pPr>
      <w:r w:rsidRPr="006D78FE">
        <w:rPr>
          <w:b/>
        </w:rPr>
        <w:t>Economic Growth</w:t>
      </w:r>
      <w:r>
        <w:t xml:space="preserve"> – this relates to local, national or international factors adversely affecting the economic growth of the City. Despite some positive trends, the Risk still remains at Red. Issues relating to inflation, labour market supply, global economy, COVID levels locally, border arrangement, local business support being scaled back and business rates commencing suggests that there are still numerous risks. </w:t>
      </w:r>
    </w:p>
    <w:p w:rsidR="0009596F" w:rsidRPr="00F00DE8" w:rsidRDefault="0009596F" w:rsidP="0009596F">
      <w:pPr>
        <w:pStyle w:val="Bulletpoints"/>
        <w:numPr>
          <w:ilvl w:val="0"/>
          <w:numId w:val="0"/>
        </w:numPr>
        <w:ind w:left="993" w:hanging="425"/>
      </w:pPr>
    </w:p>
    <w:p w:rsidR="00952FBA" w:rsidRPr="006D78FE" w:rsidRDefault="0009596F" w:rsidP="0009596F">
      <w:pPr>
        <w:numPr>
          <w:ilvl w:val="1"/>
          <w:numId w:val="2"/>
        </w:numPr>
        <w:spacing w:after="0"/>
        <w:rPr>
          <w:rFonts w:cs="Arial"/>
          <w:color w:val="auto"/>
        </w:rPr>
      </w:pPr>
      <w:r>
        <w:rPr>
          <w:b/>
        </w:rPr>
        <w:lastRenderedPageBreak/>
        <w:t>Negative Impacts of Climate Change - T</w:t>
      </w:r>
      <w:r>
        <w:t xml:space="preserve">he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Tighter air quality emission standards have been recommended by the World Health Organisation (WHO) and may be </w:t>
      </w:r>
      <w:r w:rsidRPr="006D78FE">
        <w:rPr>
          <w:color w:val="auto"/>
        </w:rPr>
        <w:t>considered for adoption by the UK Government</w:t>
      </w:r>
      <w:r w:rsidR="006D78FE" w:rsidRPr="006D78FE">
        <w:rPr>
          <w:rFonts w:cs="Arial"/>
          <w:color w:val="auto"/>
        </w:rPr>
        <w:t>.</w:t>
      </w:r>
      <w:r w:rsidR="00952FBA" w:rsidRPr="006D78FE">
        <w:rPr>
          <w:rFonts w:cs="Arial"/>
          <w:color w:val="auto"/>
        </w:rPr>
        <w:t xml:space="preserve"> </w:t>
      </w:r>
    </w:p>
    <w:p w:rsidR="00952FBA" w:rsidRPr="006D78FE" w:rsidRDefault="00952FBA" w:rsidP="00952FBA">
      <w:pPr>
        <w:pStyle w:val="ListParagraph"/>
        <w:numPr>
          <w:ilvl w:val="0"/>
          <w:numId w:val="0"/>
        </w:numPr>
        <w:ind w:left="426"/>
        <w:rPr>
          <w:rFonts w:cs="Arial"/>
          <w:color w:val="auto"/>
        </w:rPr>
      </w:pPr>
    </w:p>
    <w:p w:rsidR="00BC254C" w:rsidRPr="006D78FE" w:rsidRDefault="00BC254C" w:rsidP="00BD733A">
      <w:pPr>
        <w:pStyle w:val="ListParagraph"/>
        <w:rPr>
          <w:color w:val="auto"/>
        </w:rPr>
      </w:pPr>
      <w:r w:rsidRPr="006D78FE">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6D78FE" w:rsidRPr="006D78FE" w:rsidTr="005C5A33">
        <w:tc>
          <w:tcPr>
            <w:tcW w:w="1774" w:type="dxa"/>
          </w:tcPr>
          <w:p w:rsidR="006D78FE" w:rsidRPr="006D78FE" w:rsidRDefault="006D78FE" w:rsidP="006D78FE">
            <w:pPr>
              <w:pStyle w:val="ListParagraph"/>
              <w:numPr>
                <w:ilvl w:val="0"/>
                <w:numId w:val="0"/>
              </w:numPr>
              <w:rPr>
                <w:b/>
                <w:color w:val="auto"/>
              </w:rPr>
            </w:pPr>
            <w:r w:rsidRPr="006D78FE">
              <w:rPr>
                <w:b/>
                <w:color w:val="auto"/>
              </w:rPr>
              <w:t>Current Risk</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Q3 2020/21</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Q4 2020/21</w:t>
            </w:r>
          </w:p>
        </w:tc>
        <w:tc>
          <w:tcPr>
            <w:tcW w:w="1276" w:type="dxa"/>
            <w:vAlign w:val="center"/>
          </w:tcPr>
          <w:p w:rsidR="006D78FE" w:rsidRPr="006D78FE" w:rsidRDefault="006D78FE" w:rsidP="006D78FE">
            <w:pPr>
              <w:jc w:val="right"/>
              <w:rPr>
                <w:rFonts w:cs="Arial"/>
                <w:b/>
                <w:bCs/>
                <w:color w:val="auto"/>
              </w:rPr>
            </w:pPr>
            <w:r w:rsidRPr="006D78FE">
              <w:rPr>
                <w:rFonts w:cs="Arial"/>
                <w:b/>
                <w:bCs/>
                <w:color w:val="auto"/>
              </w:rPr>
              <w:t>Q1</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c>
          <w:tcPr>
            <w:tcW w:w="1418" w:type="dxa"/>
            <w:vAlign w:val="center"/>
          </w:tcPr>
          <w:p w:rsidR="006D78FE" w:rsidRPr="006D78FE" w:rsidRDefault="006D78FE" w:rsidP="006D78FE">
            <w:pPr>
              <w:jc w:val="right"/>
              <w:rPr>
                <w:rFonts w:cs="Arial"/>
                <w:b/>
                <w:bCs/>
                <w:color w:val="auto"/>
              </w:rPr>
            </w:pPr>
            <w:r w:rsidRPr="006D78FE">
              <w:rPr>
                <w:rFonts w:cs="Arial"/>
                <w:b/>
                <w:bCs/>
                <w:color w:val="auto"/>
              </w:rPr>
              <w:t xml:space="preserve">Q2 </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Red</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5</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Amber</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11</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10</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Green</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0</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w:t>
            </w:r>
          </w:p>
        </w:tc>
      </w:tr>
      <w:tr w:rsidR="006D78FE" w:rsidRPr="006D78FE" w:rsidTr="00D73B78">
        <w:tc>
          <w:tcPr>
            <w:tcW w:w="1774" w:type="dxa"/>
          </w:tcPr>
          <w:p w:rsidR="006D78FE" w:rsidRPr="006D78FE" w:rsidRDefault="006D78FE" w:rsidP="006D78FE">
            <w:pPr>
              <w:pStyle w:val="ListParagraph"/>
              <w:numPr>
                <w:ilvl w:val="0"/>
                <w:numId w:val="0"/>
              </w:numPr>
              <w:rPr>
                <w:b/>
                <w:color w:val="auto"/>
              </w:rPr>
            </w:pPr>
            <w:r w:rsidRPr="006D78FE">
              <w:rPr>
                <w:b/>
                <w:color w:val="auto"/>
              </w:rPr>
              <w:t>Total Risks</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276"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14</w:t>
            </w:r>
          </w:p>
        </w:tc>
        <w:tc>
          <w:tcPr>
            <w:tcW w:w="1418" w:type="dxa"/>
            <w:vAlign w:val="center"/>
          </w:tcPr>
          <w:p w:rsidR="006D78FE" w:rsidRPr="006D78FE" w:rsidRDefault="006D78FE" w:rsidP="006D78FE">
            <w:pPr>
              <w:pStyle w:val="ListParagraph"/>
              <w:numPr>
                <w:ilvl w:val="0"/>
                <w:numId w:val="0"/>
              </w:numPr>
              <w:jc w:val="right"/>
              <w:rPr>
                <w:b/>
                <w:color w:val="auto"/>
              </w:rPr>
            </w:pPr>
            <w:r w:rsidRPr="006D78FE">
              <w:rPr>
                <w:rFonts w:cs="Arial"/>
                <w:b/>
                <w:color w:val="auto"/>
              </w:rPr>
              <w:t>14 </w:t>
            </w:r>
          </w:p>
        </w:tc>
      </w:tr>
    </w:tbl>
    <w:p w:rsidR="00802422" w:rsidRPr="0035153F" w:rsidRDefault="00BC254C" w:rsidP="00BC73EE">
      <w:pPr>
        <w:pStyle w:val="ListParagraph"/>
        <w:numPr>
          <w:ilvl w:val="0"/>
          <w:numId w:val="0"/>
        </w:numPr>
        <w:ind w:left="426"/>
        <w:rPr>
          <w:color w:val="FF0000"/>
        </w:rPr>
      </w:pPr>
      <w:r w:rsidRPr="0035153F">
        <w:rPr>
          <w:color w:val="FF0000"/>
        </w:rPr>
        <w:t xml:space="preserve"> </w:t>
      </w:r>
    </w:p>
    <w:p w:rsidR="006D583C" w:rsidRPr="000F092A" w:rsidRDefault="006D583C" w:rsidP="006D583C">
      <w:pPr>
        <w:rPr>
          <w:b/>
          <w:color w:val="000000" w:themeColor="text1"/>
        </w:rPr>
      </w:pPr>
      <w:r w:rsidRPr="000F092A">
        <w:rPr>
          <w:b/>
          <w:color w:val="000000" w:themeColor="text1"/>
        </w:rPr>
        <w:t>Performance Indicators</w:t>
      </w:r>
    </w:p>
    <w:p w:rsidR="006D583C" w:rsidRDefault="00B834BD" w:rsidP="00476627">
      <w:pPr>
        <w:pStyle w:val="ListParagraph"/>
        <w:rPr>
          <w:color w:val="000000" w:themeColor="text1"/>
        </w:rPr>
      </w:pPr>
      <w:r w:rsidRPr="000F092A">
        <w:rPr>
          <w:color w:val="000000" w:themeColor="text1"/>
        </w:rPr>
        <w:t xml:space="preserve">There </w:t>
      </w:r>
      <w:r w:rsidR="00A1046A" w:rsidRPr="000F092A">
        <w:rPr>
          <w:color w:val="000000" w:themeColor="text1"/>
        </w:rPr>
        <w:t xml:space="preserve">are </w:t>
      </w:r>
      <w:r w:rsidR="00BE0E37">
        <w:rPr>
          <w:color w:val="000000" w:themeColor="text1"/>
        </w:rPr>
        <w:t>three</w:t>
      </w:r>
      <w:r w:rsidRPr="000F092A">
        <w:rPr>
          <w:color w:val="000000" w:themeColor="text1"/>
        </w:rPr>
        <w:t xml:space="preserve"> </w:t>
      </w:r>
      <w:r w:rsidR="006D583C" w:rsidRPr="000F092A">
        <w:rPr>
          <w:color w:val="000000" w:themeColor="text1"/>
        </w:rPr>
        <w:t xml:space="preserve">red corporate performance indicators being </w:t>
      </w:r>
      <w:r w:rsidR="00A1046A" w:rsidRPr="000F092A">
        <w:rPr>
          <w:color w:val="000000" w:themeColor="text1"/>
        </w:rPr>
        <w:t>reported at the end of quarter 2</w:t>
      </w:r>
      <w:r w:rsidR="006D583C" w:rsidRPr="000F092A">
        <w:rPr>
          <w:color w:val="000000" w:themeColor="text1"/>
        </w:rPr>
        <w:t>, these relate to:</w:t>
      </w:r>
    </w:p>
    <w:p w:rsidR="00CC1A09" w:rsidRPr="000F092A" w:rsidRDefault="00CC1A09" w:rsidP="00CC1A09">
      <w:pPr>
        <w:pStyle w:val="ListParagraph"/>
        <w:numPr>
          <w:ilvl w:val="0"/>
          <w:numId w:val="50"/>
        </w:numPr>
      </w:pPr>
      <w:r w:rsidRPr="000F092A">
        <w:t>The % of Council spend with local businesses including SME’s – actual 35.05 against a target of 45.  Improvements were seen in September of 16.82% but still remain below target</w:t>
      </w:r>
      <w:r>
        <w:t xml:space="preserve">. It is expected that </w:t>
      </w:r>
      <w:r w:rsidRPr="000F092A">
        <w:t xml:space="preserve">t the target </w:t>
      </w:r>
      <w:r>
        <w:t>will be</w:t>
      </w:r>
      <w:r w:rsidRPr="000F092A">
        <w:t xml:space="preserve"> met by year end as a yearly average.</w:t>
      </w:r>
    </w:p>
    <w:p w:rsidR="00CC1A09" w:rsidRPr="000F092A" w:rsidRDefault="00CC1A09" w:rsidP="00CC1A09">
      <w:pPr>
        <w:pStyle w:val="ListParagraph"/>
        <w:numPr>
          <w:ilvl w:val="0"/>
          <w:numId w:val="50"/>
        </w:numPr>
      </w:pPr>
      <w:r w:rsidRPr="000F092A">
        <w:t xml:space="preserve">The % of Council spend with local business (excluding ODS and OCHL) – actual 35.49 against a target of 45.  Improvements were seen in September of 8.21% but still remain below target </w:t>
      </w:r>
      <w:r>
        <w:t xml:space="preserve">although it is anticipated that this will be </w:t>
      </w:r>
      <w:r w:rsidRPr="000F092A">
        <w:t>met by year end as a yearly average.</w:t>
      </w:r>
    </w:p>
    <w:p w:rsidR="00CC1A09" w:rsidRDefault="00CC1A09" w:rsidP="00CC1A09">
      <w:pPr>
        <w:pStyle w:val="ListParagraph"/>
        <w:numPr>
          <w:ilvl w:val="0"/>
          <w:numId w:val="50"/>
        </w:numPr>
        <w:rPr>
          <w:color w:val="000000" w:themeColor="text1"/>
        </w:rPr>
      </w:pPr>
      <w:r w:rsidRPr="000F092A">
        <w:rPr>
          <w:color w:val="000000" w:themeColor="text1"/>
        </w:rPr>
        <w:t>The number of people in Oxford estimated to be sleeping rough – actual of 27 against a target of 17 – the number fluctuates week on week but has stayed broadly similar since early August.  Regular meetings are held with all street services to ensure plans are in place for all individuals</w:t>
      </w:r>
    </w:p>
    <w:p w:rsidR="006D583C" w:rsidRPr="00BB2667" w:rsidRDefault="006D583C" w:rsidP="006D583C">
      <w:pPr>
        <w:pStyle w:val="Heading1"/>
        <w:rPr>
          <w:color w:val="auto"/>
        </w:rPr>
      </w:pPr>
      <w:r w:rsidRPr="00BB2667">
        <w:rPr>
          <w:color w:val="auto"/>
        </w:rPr>
        <w:t>Financial implications</w:t>
      </w:r>
    </w:p>
    <w:p w:rsidR="004F260A" w:rsidRPr="00BB2667" w:rsidRDefault="004F260A" w:rsidP="00476627">
      <w:pPr>
        <w:pStyle w:val="ListParagraph"/>
        <w:rPr>
          <w:color w:val="auto"/>
        </w:rPr>
      </w:pPr>
      <w:r w:rsidRPr="00BB2667">
        <w:rPr>
          <w:color w:val="auto"/>
        </w:rPr>
        <w:t>All financial implications are covered in the body of this report and the Appendices.</w:t>
      </w:r>
    </w:p>
    <w:p w:rsidR="0040736F" w:rsidRPr="00BB2667" w:rsidRDefault="00DA614B" w:rsidP="004A6D2F">
      <w:pPr>
        <w:pStyle w:val="Heading1"/>
        <w:rPr>
          <w:color w:val="auto"/>
        </w:rPr>
      </w:pPr>
      <w:r w:rsidRPr="00BB2667">
        <w:rPr>
          <w:color w:val="auto"/>
        </w:rPr>
        <w:t>Legal issues</w:t>
      </w:r>
    </w:p>
    <w:p w:rsidR="00E87F7A" w:rsidRPr="00BB2667" w:rsidRDefault="00256350" w:rsidP="00476627">
      <w:pPr>
        <w:pStyle w:val="ListParagraph"/>
        <w:rPr>
          <w:color w:val="auto"/>
        </w:rPr>
      </w:pPr>
      <w:r w:rsidRPr="00BB2667">
        <w:rPr>
          <w:color w:val="auto"/>
        </w:rPr>
        <w:t xml:space="preserve">There are no legal implications </w:t>
      </w:r>
      <w:r w:rsidR="00D04C25" w:rsidRPr="00BB2667">
        <w:rPr>
          <w:color w:val="auto"/>
        </w:rPr>
        <w:t xml:space="preserve">arising </w:t>
      </w:r>
      <w:r w:rsidRPr="00BB2667">
        <w:rPr>
          <w:color w:val="auto"/>
        </w:rPr>
        <w:t xml:space="preserve">directly </w:t>
      </w:r>
      <w:r w:rsidR="00D04C25" w:rsidRPr="00BB2667">
        <w:rPr>
          <w:color w:val="auto"/>
        </w:rPr>
        <w:t>from</w:t>
      </w:r>
      <w:r w:rsidRPr="00BB2667">
        <w:rPr>
          <w:color w:val="auto"/>
        </w:rPr>
        <w:t xml:space="preserve"> this report</w:t>
      </w:r>
      <w:r w:rsidR="00E87F7A" w:rsidRPr="00BB2667">
        <w:rPr>
          <w:color w:val="auto"/>
        </w:rPr>
        <w:t>.</w:t>
      </w:r>
    </w:p>
    <w:p w:rsidR="002329CF" w:rsidRPr="00BB2667" w:rsidRDefault="002329CF" w:rsidP="004A6D2F">
      <w:pPr>
        <w:pStyle w:val="Heading1"/>
        <w:rPr>
          <w:color w:val="auto"/>
        </w:rPr>
      </w:pPr>
      <w:r w:rsidRPr="00BB2667">
        <w:rPr>
          <w:color w:val="auto"/>
        </w:rPr>
        <w:t>Level of risk</w:t>
      </w:r>
    </w:p>
    <w:p w:rsidR="00BC69A4" w:rsidRPr="00BB2667" w:rsidRDefault="00256350" w:rsidP="00476627">
      <w:pPr>
        <w:pStyle w:val="ListParagraph"/>
        <w:rPr>
          <w:color w:val="auto"/>
        </w:rPr>
      </w:pPr>
      <w:r w:rsidRPr="00BB2667">
        <w:rPr>
          <w:color w:val="auto"/>
        </w:rPr>
        <w:t>All risk implications are covered in the body of this report and the Appendices.</w:t>
      </w:r>
    </w:p>
    <w:p w:rsidR="002329CF" w:rsidRPr="00BB2667" w:rsidRDefault="002329CF" w:rsidP="0050321C">
      <w:pPr>
        <w:pStyle w:val="Heading1"/>
        <w:rPr>
          <w:color w:val="auto"/>
        </w:rPr>
      </w:pPr>
      <w:r w:rsidRPr="00BB2667">
        <w:rPr>
          <w:color w:val="auto"/>
        </w:rPr>
        <w:lastRenderedPageBreak/>
        <w:t xml:space="preserve">Equalities impact </w:t>
      </w:r>
    </w:p>
    <w:p w:rsidR="00E206D6" w:rsidRPr="00BB2667" w:rsidRDefault="00256350" w:rsidP="00476627">
      <w:pPr>
        <w:pStyle w:val="ListParagraph"/>
        <w:rPr>
          <w:color w:val="auto"/>
        </w:rPr>
      </w:pPr>
      <w:r w:rsidRPr="00BB2667">
        <w:rPr>
          <w:color w:val="auto"/>
        </w:rPr>
        <w:t>There are no equalities impacts arising directly from this report.</w:t>
      </w:r>
    </w:p>
    <w:p w:rsidR="002329CF" w:rsidRPr="00BB2667"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B2667" w:rsidRPr="00BB266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BB2667" w:rsidRDefault="00E87F7A" w:rsidP="00A46E98">
            <w:pPr>
              <w:rPr>
                <w:b/>
                <w:color w:val="auto"/>
              </w:rPr>
            </w:pPr>
            <w:r w:rsidRPr="00BB2667">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BB2667" w:rsidRDefault="00B91677" w:rsidP="00A46E98">
            <w:pPr>
              <w:rPr>
                <w:color w:val="auto"/>
              </w:rPr>
            </w:pPr>
            <w:r>
              <w:rPr>
                <w:color w:val="auto"/>
              </w:rPr>
              <w:t xml:space="preserve">Anna </w:t>
            </w:r>
            <w:proofErr w:type="spellStart"/>
            <w:r>
              <w:rPr>
                <w:color w:val="auto"/>
              </w:rPr>
              <w:t>Winship</w:t>
            </w:r>
            <w:proofErr w:type="spellEnd"/>
            <w:r w:rsidR="00256350" w:rsidRPr="00BB2667">
              <w:rPr>
                <w:color w:val="auto"/>
              </w:rPr>
              <w:t xml:space="preserve"> </w:t>
            </w:r>
          </w:p>
          <w:p w:rsidR="00256350" w:rsidRPr="00BB2667" w:rsidRDefault="00256350" w:rsidP="00256350">
            <w:pPr>
              <w:rPr>
                <w:color w:val="auto"/>
              </w:rPr>
            </w:pPr>
          </w:p>
        </w:tc>
      </w:tr>
      <w:tr w:rsidR="00BB2667" w:rsidRPr="00BB2667"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BB2667" w:rsidRDefault="00B91677" w:rsidP="00A46E98">
            <w:pPr>
              <w:rPr>
                <w:color w:val="auto"/>
              </w:rPr>
            </w:pPr>
            <w:r>
              <w:rPr>
                <w:color w:val="auto"/>
              </w:rPr>
              <w:t>Management Accounting Manager</w:t>
            </w:r>
          </w:p>
          <w:p w:rsidR="00256350" w:rsidRPr="00BB2667" w:rsidRDefault="00256350" w:rsidP="00A46E98">
            <w:pPr>
              <w:rPr>
                <w:color w:val="auto"/>
              </w:rPr>
            </w:pP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Service area or department</w:t>
            </w:r>
          </w:p>
        </w:tc>
        <w:tc>
          <w:tcPr>
            <w:tcW w:w="4962" w:type="dxa"/>
            <w:tcBorders>
              <w:top w:val="nil"/>
              <w:left w:val="nil"/>
              <w:bottom w:val="nil"/>
              <w:right w:val="single" w:sz="8" w:space="0" w:color="000000"/>
            </w:tcBorders>
            <w:shd w:val="clear" w:color="auto" w:fill="auto"/>
          </w:tcPr>
          <w:p w:rsidR="00E87F7A" w:rsidRPr="00BB2667" w:rsidRDefault="00256350" w:rsidP="00BB2667">
            <w:pPr>
              <w:rPr>
                <w:color w:val="auto"/>
              </w:rPr>
            </w:pPr>
            <w:r w:rsidRPr="00BB2667">
              <w:rPr>
                <w:color w:val="auto"/>
              </w:rPr>
              <w:t>Financial Services</w:t>
            </w: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 xml:space="preserve">Telephone </w:t>
            </w:r>
          </w:p>
        </w:tc>
        <w:tc>
          <w:tcPr>
            <w:tcW w:w="4962" w:type="dxa"/>
            <w:tcBorders>
              <w:top w:val="nil"/>
              <w:left w:val="nil"/>
              <w:bottom w:val="nil"/>
              <w:right w:val="single" w:sz="8" w:space="0" w:color="000000"/>
            </w:tcBorders>
            <w:shd w:val="clear" w:color="auto" w:fill="auto"/>
          </w:tcPr>
          <w:p w:rsidR="00E87F7A" w:rsidRPr="00BB2667" w:rsidRDefault="00B91677" w:rsidP="00256350">
            <w:pPr>
              <w:rPr>
                <w:color w:val="auto"/>
              </w:rPr>
            </w:pPr>
            <w:r>
              <w:rPr>
                <w:color w:val="auto"/>
              </w:rPr>
              <w:t>01865 252517</w:t>
            </w:r>
            <w:r w:rsidR="00E87F7A" w:rsidRPr="00BB2667">
              <w:rPr>
                <w:color w:val="auto"/>
              </w:rPr>
              <w:t xml:space="preserve">  </w:t>
            </w:r>
          </w:p>
        </w:tc>
      </w:tr>
      <w:tr w:rsidR="00BB2667" w:rsidRPr="00BB266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BB2667" w:rsidRDefault="00E87F7A" w:rsidP="00A46E98">
            <w:pPr>
              <w:rPr>
                <w:color w:val="auto"/>
              </w:rPr>
            </w:pPr>
            <w:r w:rsidRPr="00BB266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BB2667" w:rsidRDefault="00B91677" w:rsidP="00BB2667">
            <w:pPr>
              <w:rPr>
                <w:rStyle w:val="Hyperlink"/>
                <w:color w:val="auto"/>
              </w:rPr>
            </w:pPr>
            <w:r>
              <w:rPr>
                <w:rStyle w:val="Hyperlink"/>
                <w:color w:val="auto"/>
              </w:rPr>
              <w:t>awinship</w:t>
            </w:r>
            <w:r w:rsidR="00BB2667">
              <w:rPr>
                <w:rStyle w:val="Hyperlink"/>
                <w:color w:val="auto"/>
              </w:rPr>
              <w:t>@oxford.gov.uk</w:t>
            </w:r>
          </w:p>
        </w:tc>
      </w:tr>
    </w:tbl>
    <w:p w:rsidR="00433B96" w:rsidRPr="00BB2667"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B2667" w:rsidRPr="00BB266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BB2667" w:rsidRDefault="00182B81" w:rsidP="00F41AC1">
            <w:pPr>
              <w:rPr>
                <w:color w:val="auto"/>
              </w:rPr>
            </w:pPr>
            <w:r w:rsidRPr="00BB2667">
              <w:rPr>
                <w:rStyle w:val="Firstpagetablebold"/>
                <w:color w:val="auto"/>
              </w:rPr>
              <w:t xml:space="preserve">Background Papers: </w:t>
            </w:r>
            <w:r w:rsidRPr="00BB2667">
              <w:rPr>
                <w:rStyle w:val="Firstpagetablebold"/>
                <w:b w:val="0"/>
                <w:color w:val="auto"/>
              </w:rPr>
              <w:t>None</w:t>
            </w:r>
          </w:p>
        </w:tc>
      </w:tr>
    </w:tbl>
    <w:p w:rsidR="00CE4C87" w:rsidRPr="00BB2667" w:rsidRDefault="00CE4C87" w:rsidP="0093067A">
      <w:pPr>
        <w:rPr>
          <w:color w:val="auto"/>
        </w:rPr>
      </w:pPr>
    </w:p>
    <w:sectPr w:rsidR="00CE4C87" w:rsidRPr="00BB266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6A" w:rsidRDefault="0025376A" w:rsidP="004A6D2F">
      <w:r>
        <w:separator/>
      </w:r>
    </w:p>
  </w:endnote>
  <w:endnote w:type="continuationSeparator" w:id="0">
    <w:p w:rsidR="0025376A" w:rsidRDefault="002537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6A" w:rsidRDefault="0025376A" w:rsidP="004A6D2F">
      <w:r>
        <w:separator/>
      </w:r>
    </w:p>
  </w:footnote>
  <w:footnote w:type="continuationSeparator" w:id="0">
    <w:p w:rsidR="0025376A" w:rsidRDefault="0025376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896DE7" w:rsidP="00D5547E">
    <w:pPr>
      <w:pStyle w:val="Header"/>
      <w:jc w:val="right"/>
    </w:pPr>
    <w:r w:rsidRPr="00612730">
      <w:rPr>
        <w:noProof/>
      </w:rPr>
      <w:drawing>
        <wp:inline distT="0" distB="0" distL="0" distR="0" wp14:anchorId="65B17302" wp14:editId="639602D8">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D46675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DC573E"/>
    <w:multiLevelType w:val="hybridMultilevel"/>
    <w:tmpl w:val="7108B29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32117A6"/>
    <w:multiLevelType w:val="hybridMultilevel"/>
    <w:tmpl w:val="6F544CF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6"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15:restartNumberingAfterBreak="0">
    <w:nsid w:val="798365C6"/>
    <w:multiLevelType w:val="multilevel"/>
    <w:tmpl w:val="976C7C58"/>
    <w:lvl w:ilvl="0">
      <w:start w:val="1"/>
      <w:numFmt w:val="decimal"/>
      <w:pStyle w:val="ListParagraph"/>
      <w:lvlText w:val="%1."/>
      <w:lvlJc w:val="left"/>
      <w:pPr>
        <w:ind w:left="786"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8"/>
  </w:num>
  <w:num w:numId="3">
    <w:abstractNumId w:val="21"/>
  </w:num>
  <w:num w:numId="4">
    <w:abstractNumId w:val="8"/>
  </w:num>
  <w:num w:numId="5">
    <w:abstractNumId w:val="43"/>
  </w:num>
  <w:num w:numId="6">
    <w:abstractNumId w:val="40"/>
  </w:num>
  <w:num w:numId="7">
    <w:abstractNumId w:val="39"/>
  </w:num>
  <w:num w:numId="8">
    <w:abstractNumId w:val="22"/>
  </w:num>
  <w:num w:numId="9">
    <w:abstractNumId w:val="37"/>
  </w:num>
  <w:num w:numId="10">
    <w:abstractNumId w:val="13"/>
  </w:num>
  <w:num w:numId="11">
    <w:abstractNumId w:val="5"/>
  </w:num>
  <w:num w:numId="12">
    <w:abstractNumId w:val="15"/>
  </w:num>
  <w:num w:numId="13">
    <w:abstractNumId w:val="11"/>
  </w:num>
  <w:num w:numId="14">
    <w:abstractNumId w:val="34"/>
  </w:num>
  <w:num w:numId="15">
    <w:abstractNumId w:val="6"/>
  </w:num>
  <w:num w:numId="16">
    <w:abstractNumId w:val="44"/>
  </w:num>
  <w:num w:numId="17">
    <w:abstractNumId w:val="18"/>
  </w:num>
  <w:num w:numId="18">
    <w:abstractNumId w:val="38"/>
  </w:num>
  <w:num w:numId="19">
    <w:abstractNumId w:val="47"/>
  </w:num>
  <w:num w:numId="20">
    <w:abstractNumId w:val="28"/>
  </w:num>
  <w:num w:numId="21">
    <w:abstractNumId w:val="29"/>
  </w:num>
  <w:num w:numId="22">
    <w:abstractNumId w:val="19"/>
  </w:num>
  <w:num w:numId="23">
    <w:abstractNumId w:val="24"/>
  </w:num>
  <w:num w:numId="24">
    <w:abstractNumId w:val="12"/>
  </w:num>
  <w:num w:numId="25">
    <w:abstractNumId w:val="41"/>
  </w:num>
  <w:num w:numId="26">
    <w:abstractNumId w:val="35"/>
  </w:num>
  <w:num w:numId="27">
    <w:abstractNumId w:val="3"/>
  </w:num>
  <w:num w:numId="28">
    <w:abstractNumId w:val="46"/>
  </w:num>
  <w:num w:numId="29">
    <w:abstractNumId w:val="16"/>
  </w:num>
  <w:num w:numId="30">
    <w:abstractNumId w:val="10"/>
  </w:num>
  <w:num w:numId="31">
    <w:abstractNumId w:val="42"/>
  </w:num>
  <w:num w:numId="32">
    <w:abstractNumId w:val="32"/>
  </w:num>
  <w:num w:numId="33">
    <w:abstractNumId w:val="31"/>
  </w:num>
  <w:num w:numId="34">
    <w:abstractNumId w:val="23"/>
  </w:num>
  <w:num w:numId="35">
    <w:abstractNumId w:val="33"/>
  </w:num>
  <w:num w:numId="36">
    <w:abstractNumId w:val="9"/>
  </w:num>
  <w:num w:numId="37">
    <w:abstractNumId w:val="4"/>
  </w:num>
  <w:num w:numId="38">
    <w:abstractNumId w:val="36"/>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7"/>
  </w:num>
  <w:num w:numId="48">
    <w:abstractNumId w:val="45"/>
  </w:num>
  <w:num w:numId="49">
    <w:abstractNumId w:val="48"/>
    <w:lvlOverride w:ilvl="0">
      <w:lvl w:ilvl="0">
        <w:start w:val="1"/>
        <w:numFmt w:val="decimal"/>
        <w:pStyle w:val="ListParagraph"/>
        <w:lvlText w:val="%1."/>
        <w:lvlJc w:val="left"/>
        <w:pPr>
          <w:ind w:left="502" w:hanging="360"/>
        </w:pPr>
        <w:rPr>
          <w:rFonts w:ascii="Arial" w:hAnsi="Arial"/>
          <w:b/>
          <w:color w:val="000000"/>
          <w:sz w:val="24"/>
        </w:rPr>
      </w:lvl>
    </w:lvlOverride>
  </w:num>
  <w:num w:numId="50">
    <w:abstractNumId w:val="30"/>
  </w:num>
  <w:num w:numId="51">
    <w:abstractNumId w:val="48"/>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0F1E"/>
    <w:rsid w:val="00021313"/>
    <w:rsid w:val="00021A50"/>
    <w:rsid w:val="00027A19"/>
    <w:rsid w:val="000314D7"/>
    <w:rsid w:val="00031867"/>
    <w:rsid w:val="00033F77"/>
    <w:rsid w:val="00034DFA"/>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399D"/>
    <w:rsid w:val="00064D8A"/>
    <w:rsid w:val="00064F82"/>
    <w:rsid w:val="00066510"/>
    <w:rsid w:val="00067108"/>
    <w:rsid w:val="00070E1A"/>
    <w:rsid w:val="00073508"/>
    <w:rsid w:val="000749E8"/>
    <w:rsid w:val="000753A8"/>
    <w:rsid w:val="00077523"/>
    <w:rsid w:val="000776FF"/>
    <w:rsid w:val="00082AD8"/>
    <w:rsid w:val="00085B72"/>
    <w:rsid w:val="00087BC5"/>
    <w:rsid w:val="000917F9"/>
    <w:rsid w:val="00092B20"/>
    <w:rsid w:val="00093353"/>
    <w:rsid w:val="0009596F"/>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092A"/>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F0D"/>
    <w:rsid w:val="0013140F"/>
    <w:rsid w:val="00132A6F"/>
    <w:rsid w:val="00133FCB"/>
    <w:rsid w:val="0013447C"/>
    <w:rsid w:val="001356F1"/>
    <w:rsid w:val="00135C15"/>
    <w:rsid w:val="001368DF"/>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16A7"/>
    <w:rsid w:val="001944A2"/>
    <w:rsid w:val="0019563E"/>
    <w:rsid w:val="00195CA7"/>
    <w:rsid w:val="001965CB"/>
    <w:rsid w:val="00197786"/>
    <w:rsid w:val="00197C34"/>
    <w:rsid w:val="001A011E"/>
    <w:rsid w:val="001A022B"/>
    <w:rsid w:val="001A066A"/>
    <w:rsid w:val="001A13E6"/>
    <w:rsid w:val="001A382D"/>
    <w:rsid w:val="001A4B55"/>
    <w:rsid w:val="001A5731"/>
    <w:rsid w:val="001A60BF"/>
    <w:rsid w:val="001A6EE3"/>
    <w:rsid w:val="001A70AB"/>
    <w:rsid w:val="001A7F68"/>
    <w:rsid w:val="001B0AD1"/>
    <w:rsid w:val="001B2E71"/>
    <w:rsid w:val="001B42C3"/>
    <w:rsid w:val="001B5939"/>
    <w:rsid w:val="001C1532"/>
    <w:rsid w:val="001C21C2"/>
    <w:rsid w:val="001C391C"/>
    <w:rsid w:val="001C3F04"/>
    <w:rsid w:val="001C5D5E"/>
    <w:rsid w:val="001D1B96"/>
    <w:rsid w:val="001D3606"/>
    <w:rsid w:val="001D678D"/>
    <w:rsid w:val="001D6B95"/>
    <w:rsid w:val="001D7A0E"/>
    <w:rsid w:val="001E03F8"/>
    <w:rsid w:val="001E12C0"/>
    <w:rsid w:val="001E1678"/>
    <w:rsid w:val="001E3376"/>
    <w:rsid w:val="001E561E"/>
    <w:rsid w:val="001E7192"/>
    <w:rsid w:val="001F1A46"/>
    <w:rsid w:val="001F3375"/>
    <w:rsid w:val="002005E3"/>
    <w:rsid w:val="002018CC"/>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376A"/>
    <w:rsid w:val="002558DF"/>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C32"/>
    <w:rsid w:val="00287FB6"/>
    <w:rsid w:val="00290915"/>
    <w:rsid w:val="002925C6"/>
    <w:rsid w:val="00292C57"/>
    <w:rsid w:val="00294DDB"/>
    <w:rsid w:val="0029661E"/>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2F7A6F"/>
    <w:rsid w:val="002F7BC8"/>
    <w:rsid w:val="00301BF3"/>
    <w:rsid w:val="0030208D"/>
    <w:rsid w:val="003025E1"/>
    <w:rsid w:val="0030263F"/>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5153F"/>
    <w:rsid w:val="00360AA3"/>
    <w:rsid w:val="00360CE3"/>
    <w:rsid w:val="003629C0"/>
    <w:rsid w:val="00362D48"/>
    <w:rsid w:val="00364FAD"/>
    <w:rsid w:val="0036738F"/>
    <w:rsid w:val="0036759C"/>
    <w:rsid w:val="003676C3"/>
    <w:rsid w:val="00367AE5"/>
    <w:rsid w:val="00367D71"/>
    <w:rsid w:val="003717C7"/>
    <w:rsid w:val="0037202D"/>
    <w:rsid w:val="003759BC"/>
    <w:rsid w:val="003763B6"/>
    <w:rsid w:val="00376EE5"/>
    <w:rsid w:val="00376F9F"/>
    <w:rsid w:val="0038150A"/>
    <w:rsid w:val="00381C65"/>
    <w:rsid w:val="00390138"/>
    <w:rsid w:val="003940F3"/>
    <w:rsid w:val="00395475"/>
    <w:rsid w:val="00395F98"/>
    <w:rsid w:val="0039720B"/>
    <w:rsid w:val="003976F3"/>
    <w:rsid w:val="003A1AD0"/>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0215"/>
    <w:rsid w:val="00412C1F"/>
    <w:rsid w:val="00413512"/>
    <w:rsid w:val="0041397C"/>
    <w:rsid w:val="00420257"/>
    <w:rsid w:val="00420868"/>
    <w:rsid w:val="00421CB2"/>
    <w:rsid w:val="004268B9"/>
    <w:rsid w:val="0042754C"/>
    <w:rsid w:val="004332E4"/>
    <w:rsid w:val="00433B96"/>
    <w:rsid w:val="00434790"/>
    <w:rsid w:val="0044106B"/>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A2AC7"/>
    <w:rsid w:val="004A3EAE"/>
    <w:rsid w:val="004A6D2F"/>
    <w:rsid w:val="004B5708"/>
    <w:rsid w:val="004B644B"/>
    <w:rsid w:val="004B6807"/>
    <w:rsid w:val="004B6D7A"/>
    <w:rsid w:val="004C2887"/>
    <w:rsid w:val="004C44FE"/>
    <w:rsid w:val="004C6918"/>
    <w:rsid w:val="004D0DAB"/>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0890"/>
    <w:rsid w:val="005223AA"/>
    <w:rsid w:val="00522F06"/>
    <w:rsid w:val="00523412"/>
    <w:rsid w:val="00523E35"/>
    <w:rsid w:val="0052595A"/>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5B7"/>
    <w:rsid w:val="00650642"/>
    <w:rsid w:val="00650811"/>
    <w:rsid w:val="006546AD"/>
    <w:rsid w:val="00657207"/>
    <w:rsid w:val="00661D3E"/>
    <w:rsid w:val="006626A3"/>
    <w:rsid w:val="006633F1"/>
    <w:rsid w:val="0066395F"/>
    <w:rsid w:val="00666094"/>
    <w:rsid w:val="0067298D"/>
    <w:rsid w:val="00673BA5"/>
    <w:rsid w:val="00686C24"/>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708A"/>
    <w:rsid w:val="006D78FE"/>
    <w:rsid w:val="006E14C1"/>
    <w:rsid w:val="006E4B8F"/>
    <w:rsid w:val="006F0292"/>
    <w:rsid w:val="006F27FA"/>
    <w:rsid w:val="006F416B"/>
    <w:rsid w:val="006F4D93"/>
    <w:rsid w:val="006F519B"/>
    <w:rsid w:val="006F7CC4"/>
    <w:rsid w:val="006F7FA7"/>
    <w:rsid w:val="007043A5"/>
    <w:rsid w:val="0070575B"/>
    <w:rsid w:val="00712C94"/>
    <w:rsid w:val="00713675"/>
    <w:rsid w:val="00715823"/>
    <w:rsid w:val="0073065E"/>
    <w:rsid w:val="00732BDF"/>
    <w:rsid w:val="007333C3"/>
    <w:rsid w:val="00734425"/>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1F65"/>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5ED4"/>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4D6B"/>
    <w:rsid w:val="008A7B67"/>
    <w:rsid w:val="008B0D2B"/>
    <w:rsid w:val="008B293F"/>
    <w:rsid w:val="008B305E"/>
    <w:rsid w:val="008B6745"/>
    <w:rsid w:val="008B7371"/>
    <w:rsid w:val="008B769E"/>
    <w:rsid w:val="008C0A73"/>
    <w:rsid w:val="008C2114"/>
    <w:rsid w:val="008C2C68"/>
    <w:rsid w:val="008D0B22"/>
    <w:rsid w:val="008D3180"/>
    <w:rsid w:val="008D3DDB"/>
    <w:rsid w:val="008D3FE6"/>
    <w:rsid w:val="008D5B32"/>
    <w:rsid w:val="008D7BF9"/>
    <w:rsid w:val="008E04AF"/>
    <w:rsid w:val="008E63DE"/>
    <w:rsid w:val="008F094F"/>
    <w:rsid w:val="008F09F3"/>
    <w:rsid w:val="008F5168"/>
    <w:rsid w:val="008F5712"/>
    <w:rsid w:val="008F573F"/>
    <w:rsid w:val="008F6E30"/>
    <w:rsid w:val="008F7357"/>
    <w:rsid w:val="009023B2"/>
    <w:rsid w:val="009034EC"/>
    <w:rsid w:val="0090421C"/>
    <w:rsid w:val="00905148"/>
    <w:rsid w:val="009062A0"/>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0CC"/>
    <w:rsid w:val="009B381B"/>
    <w:rsid w:val="009B4BFF"/>
    <w:rsid w:val="009B6D80"/>
    <w:rsid w:val="009B708C"/>
    <w:rsid w:val="009B76C1"/>
    <w:rsid w:val="009C0CE9"/>
    <w:rsid w:val="009C177B"/>
    <w:rsid w:val="009C59A8"/>
    <w:rsid w:val="009C59F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046A"/>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957C1"/>
    <w:rsid w:val="00AA5D03"/>
    <w:rsid w:val="00AB24EA"/>
    <w:rsid w:val="00AB2988"/>
    <w:rsid w:val="00AB62F0"/>
    <w:rsid w:val="00AB6B54"/>
    <w:rsid w:val="00AB76C3"/>
    <w:rsid w:val="00AB7999"/>
    <w:rsid w:val="00AC1715"/>
    <w:rsid w:val="00AC3073"/>
    <w:rsid w:val="00AC4174"/>
    <w:rsid w:val="00AC659B"/>
    <w:rsid w:val="00AD186F"/>
    <w:rsid w:val="00AD204C"/>
    <w:rsid w:val="00AD3292"/>
    <w:rsid w:val="00AD74C1"/>
    <w:rsid w:val="00AE0FC6"/>
    <w:rsid w:val="00AE7AF0"/>
    <w:rsid w:val="00AE7BB8"/>
    <w:rsid w:val="00AF0804"/>
    <w:rsid w:val="00AF300F"/>
    <w:rsid w:val="00AF386F"/>
    <w:rsid w:val="00AF7460"/>
    <w:rsid w:val="00AF7E6D"/>
    <w:rsid w:val="00B01E78"/>
    <w:rsid w:val="00B02C0B"/>
    <w:rsid w:val="00B068CC"/>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41D9"/>
    <w:rsid w:val="00B6503D"/>
    <w:rsid w:val="00B71CA0"/>
    <w:rsid w:val="00B74923"/>
    <w:rsid w:val="00B76175"/>
    <w:rsid w:val="00B8084E"/>
    <w:rsid w:val="00B80C36"/>
    <w:rsid w:val="00B834BD"/>
    <w:rsid w:val="00B83F15"/>
    <w:rsid w:val="00B84D7D"/>
    <w:rsid w:val="00B86314"/>
    <w:rsid w:val="00B87386"/>
    <w:rsid w:val="00B91677"/>
    <w:rsid w:val="00B92AA5"/>
    <w:rsid w:val="00B93514"/>
    <w:rsid w:val="00B94D18"/>
    <w:rsid w:val="00B954BE"/>
    <w:rsid w:val="00B968EC"/>
    <w:rsid w:val="00BA1C2E"/>
    <w:rsid w:val="00BA6A54"/>
    <w:rsid w:val="00BB12F0"/>
    <w:rsid w:val="00BB2667"/>
    <w:rsid w:val="00BB318F"/>
    <w:rsid w:val="00BB420C"/>
    <w:rsid w:val="00BB6A43"/>
    <w:rsid w:val="00BB74FC"/>
    <w:rsid w:val="00BC200B"/>
    <w:rsid w:val="00BC254C"/>
    <w:rsid w:val="00BC2DEA"/>
    <w:rsid w:val="00BC4756"/>
    <w:rsid w:val="00BC54ED"/>
    <w:rsid w:val="00BC69A4"/>
    <w:rsid w:val="00BC73EE"/>
    <w:rsid w:val="00BC7571"/>
    <w:rsid w:val="00BD3B6D"/>
    <w:rsid w:val="00BD5867"/>
    <w:rsid w:val="00BE0680"/>
    <w:rsid w:val="00BE0E37"/>
    <w:rsid w:val="00BE305F"/>
    <w:rsid w:val="00BE5A97"/>
    <w:rsid w:val="00BE7BA3"/>
    <w:rsid w:val="00BF2AF4"/>
    <w:rsid w:val="00BF3805"/>
    <w:rsid w:val="00BF4EE9"/>
    <w:rsid w:val="00BF5682"/>
    <w:rsid w:val="00BF7B09"/>
    <w:rsid w:val="00C00652"/>
    <w:rsid w:val="00C00F7E"/>
    <w:rsid w:val="00C0174C"/>
    <w:rsid w:val="00C0425E"/>
    <w:rsid w:val="00C0509E"/>
    <w:rsid w:val="00C10C69"/>
    <w:rsid w:val="00C11950"/>
    <w:rsid w:val="00C13033"/>
    <w:rsid w:val="00C13955"/>
    <w:rsid w:val="00C1470A"/>
    <w:rsid w:val="00C20A95"/>
    <w:rsid w:val="00C23F79"/>
    <w:rsid w:val="00C25AD8"/>
    <w:rsid w:val="00C2674F"/>
    <w:rsid w:val="00C2692F"/>
    <w:rsid w:val="00C3207C"/>
    <w:rsid w:val="00C32898"/>
    <w:rsid w:val="00C32BB4"/>
    <w:rsid w:val="00C34670"/>
    <w:rsid w:val="00C34ACE"/>
    <w:rsid w:val="00C35594"/>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1A09"/>
    <w:rsid w:val="00CC2459"/>
    <w:rsid w:val="00CC3C84"/>
    <w:rsid w:val="00CC59C6"/>
    <w:rsid w:val="00CD211A"/>
    <w:rsid w:val="00CD6231"/>
    <w:rsid w:val="00CD6F77"/>
    <w:rsid w:val="00CE22BA"/>
    <w:rsid w:val="00CE4C87"/>
    <w:rsid w:val="00CE544A"/>
    <w:rsid w:val="00CE6D84"/>
    <w:rsid w:val="00CF58EC"/>
    <w:rsid w:val="00CF795B"/>
    <w:rsid w:val="00D04C25"/>
    <w:rsid w:val="00D05E98"/>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32046"/>
    <w:rsid w:val="00D354EF"/>
    <w:rsid w:val="00D36B34"/>
    <w:rsid w:val="00D4040D"/>
    <w:rsid w:val="00D41A9C"/>
    <w:rsid w:val="00D43CE9"/>
    <w:rsid w:val="00D44685"/>
    <w:rsid w:val="00D45E2B"/>
    <w:rsid w:val="00D474CF"/>
    <w:rsid w:val="00D51A4D"/>
    <w:rsid w:val="00D53083"/>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1813"/>
    <w:rsid w:val="00D92900"/>
    <w:rsid w:val="00D97707"/>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DF70FC"/>
    <w:rsid w:val="00E001B2"/>
    <w:rsid w:val="00E01F42"/>
    <w:rsid w:val="00E04DF8"/>
    <w:rsid w:val="00E06D4C"/>
    <w:rsid w:val="00E06F6C"/>
    <w:rsid w:val="00E07095"/>
    <w:rsid w:val="00E07432"/>
    <w:rsid w:val="00E12EF9"/>
    <w:rsid w:val="00E12F97"/>
    <w:rsid w:val="00E141C6"/>
    <w:rsid w:val="00E155EB"/>
    <w:rsid w:val="00E157FF"/>
    <w:rsid w:val="00E15803"/>
    <w:rsid w:val="00E206D6"/>
    <w:rsid w:val="00E22AAC"/>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0B4F"/>
    <w:rsid w:val="00E93B26"/>
    <w:rsid w:val="00E958CD"/>
    <w:rsid w:val="00E96BD7"/>
    <w:rsid w:val="00E96FF9"/>
    <w:rsid w:val="00EA0DB1"/>
    <w:rsid w:val="00EA0EE9"/>
    <w:rsid w:val="00EA2C63"/>
    <w:rsid w:val="00EA4150"/>
    <w:rsid w:val="00EA41DD"/>
    <w:rsid w:val="00EA5469"/>
    <w:rsid w:val="00EA78BE"/>
    <w:rsid w:val="00EA7FF7"/>
    <w:rsid w:val="00EB0341"/>
    <w:rsid w:val="00EB1130"/>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1410"/>
    <w:rsid w:val="00F043A7"/>
    <w:rsid w:val="00F043D3"/>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267"/>
    <w:rsid w:val="00F445B1"/>
    <w:rsid w:val="00F44B49"/>
    <w:rsid w:val="00F4581C"/>
    <w:rsid w:val="00F45CD4"/>
    <w:rsid w:val="00F50D59"/>
    <w:rsid w:val="00F52AB6"/>
    <w:rsid w:val="00F52DDC"/>
    <w:rsid w:val="00F52E15"/>
    <w:rsid w:val="00F5632A"/>
    <w:rsid w:val="00F57A81"/>
    <w:rsid w:val="00F61106"/>
    <w:rsid w:val="00F6586F"/>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691"/>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3E69"/>
    <w:rsid w:val="00FD4134"/>
    <w:rsid w:val="00FD4966"/>
    <w:rsid w:val="00FD4A43"/>
    <w:rsid w:val="00FE07FD"/>
    <w:rsid w:val="00FE1E6D"/>
    <w:rsid w:val="00FE35F3"/>
    <w:rsid w:val="00FE36F7"/>
    <w:rsid w:val="00FE3A39"/>
    <w:rsid w:val="00FE57DC"/>
    <w:rsid w:val="00FE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CD7B-91AD-4593-8E9E-97704934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2759</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awinship</dc:creator>
  <cp:lastModifiedBy>BROWN Andrew J</cp:lastModifiedBy>
  <cp:revision>7</cp:revision>
  <cp:lastPrinted>2017-08-07T08:36:00Z</cp:lastPrinted>
  <dcterms:created xsi:type="dcterms:W3CDTF">2021-11-22T16:51:00Z</dcterms:created>
  <dcterms:modified xsi:type="dcterms:W3CDTF">2022-01-21T14:32:00Z</dcterms:modified>
</cp:coreProperties>
</file>